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5C" w:rsidRPr="00005310" w:rsidRDefault="0036715C" w:rsidP="0036715C">
      <w:pPr>
        <w:jc w:val="center"/>
        <w:rPr>
          <w:lang w:val="uk-UA"/>
        </w:rPr>
      </w:pPr>
      <w:r>
        <w:rPr>
          <w:lang w:val="uk-UA"/>
        </w:rPr>
        <w:t>Український державний університет залізничного транспорту</w:t>
      </w:r>
    </w:p>
    <w:p w:rsidR="0036715C" w:rsidRPr="00005310" w:rsidRDefault="0036715C" w:rsidP="0036715C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97"/>
      </w:tblGrid>
      <w:tr w:rsidR="0036715C" w:rsidRPr="00005310" w:rsidTr="00B35262">
        <w:tc>
          <w:tcPr>
            <w:tcW w:w="4788" w:type="dxa"/>
            <w:shd w:val="clear" w:color="auto" w:fill="auto"/>
          </w:tcPr>
          <w:p w:rsidR="0036715C" w:rsidRPr="00005310" w:rsidRDefault="0036715C" w:rsidP="00B35262">
            <w:pPr>
              <w:rPr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36715C" w:rsidRPr="00005310" w:rsidRDefault="0036715C" w:rsidP="00B35262">
            <w:pPr>
              <w:rPr>
                <w:lang w:val="uk-UA"/>
              </w:rPr>
            </w:pPr>
            <w:r w:rsidRPr="00005310">
              <w:rPr>
                <w:lang w:val="uk-UA"/>
              </w:rPr>
              <w:t>Рекомендовано</w:t>
            </w:r>
          </w:p>
          <w:p w:rsidR="0036715C" w:rsidRPr="00005310" w:rsidRDefault="0036715C" w:rsidP="00B35262">
            <w:pPr>
              <w:rPr>
                <w:lang w:val="uk-UA"/>
              </w:rPr>
            </w:pPr>
            <w:r w:rsidRPr="00005310">
              <w:rPr>
                <w:lang w:val="uk-UA"/>
              </w:rPr>
              <w:t>на засіданні кафедри</w:t>
            </w:r>
          </w:p>
          <w:p w:rsidR="0036715C" w:rsidRPr="00005310" w:rsidRDefault="0036715C" w:rsidP="00B35262">
            <w:r>
              <w:rPr>
                <w:lang w:val="uk-UA"/>
              </w:rPr>
              <w:t>у</w:t>
            </w:r>
            <w:r w:rsidRPr="00005310">
              <w:rPr>
                <w:lang w:val="uk-UA"/>
              </w:rPr>
              <w:t>правління вантажною і комерційною роботою</w:t>
            </w:r>
          </w:p>
          <w:p w:rsidR="0036715C" w:rsidRPr="00005310" w:rsidRDefault="0031141F" w:rsidP="00B35262">
            <w:pPr>
              <w:rPr>
                <w:lang w:val="uk-UA"/>
              </w:rPr>
            </w:pPr>
            <w:r>
              <w:rPr>
                <w:lang w:val="uk-UA"/>
              </w:rPr>
              <w:t>протокол № 1 від 31.08.2023</w:t>
            </w:r>
            <w:r w:rsidR="0036715C" w:rsidRPr="00005310">
              <w:rPr>
                <w:lang w:val="uk-UA"/>
              </w:rPr>
              <w:t xml:space="preserve"> р.</w:t>
            </w:r>
          </w:p>
        </w:tc>
      </w:tr>
    </w:tbl>
    <w:p w:rsidR="0036715C" w:rsidRPr="00005310" w:rsidRDefault="0036715C" w:rsidP="0036715C">
      <w:pPr>
        <w:rPr>
          <w:b/>
          <w:bCs/>
          <w:lang w:val="uk-UA"/>
        </w:rPr>
      </w:pPr>
    </w:p>
    <w:p w:rsidR="0036715C" w:rsidRDefault="0036715C" w:rsidP="0036715C">
      <w:pPr>
        <w:jc w:val="center"/>
        <w:rPr>
          <w:bCs/>
          <w:sz w:val="28"/>
          <w:szCs w:val="28"/>
          <w:lang w:val="uk-UA"/>
        </w:rPr>
      </w:pPr>
    </w:p>
    <w:p w:rsidR="0036715C" w:rsidRDefault="0036715C" w:rsidP="0036715C">
      <w:pPr>
        <w:jc w:val="center"/>
        <w:rPr>
          <w:bCs/>
          <w:sz w:val="28"/>
          <w:szCs w:val="28"/>
          <w:lang w:val="uk-UA"/>
        </w:rPr>
      </w:pPr>
      <w:r w:rsidRPr="00944A23">
        <w:rPr>
          <w:bCs/>
          <w:sz w:val="28"/>
          <w:szCs w:val="28"/>
          <w:lang w:val="uk-UA"/>
        </w:rPr>
        <w:t>СИЛАБУС</w:t>
      </w:r>
    </w:p>
    <w:p w:rsidR="0036715C" w:rsidRPr="00944A23" w:rsidRDefault="0036715C" w:rsidP="0036715C">
      <w:pPr>
        <w:jc w:val="center"/>
        <w:rPr>
          <w:sz w:val="28"/>
          <w:szCs w:val="28"/>
          <w:lang w:val="uk-UA"/>
        </w:rPr>
      </w:pPr>
    </w:p>
    <w:p w:rsidR="0036715C" w:rsidRPr="00B04B92" w:rsidRDefault="0036715C" w:rsidP="003671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РИЗИК-ОРІЄНТОВАНІ ТЕХНОЛОГІЇ ПЕРЕВЕЗЕНЬ</w:t>
      </w:r>
    </w:p>
    <w:p w:rsidR="0036715C" w:rsidRPr="00944A23" w:rsidRDefault="0036715C" w:rsidP="0036715C">
      <w:pPr>
        <w:jc w:val="center"/>
        <w:rPr>
          <w:b/>
          <w:sz w:val="28"/>
          <w:szCs w:val="28"/>
          <w:lang w:val="uk-UA"/>
        </w:rPr>
      </w:pPr>
    </w:p>
    <w:p w:rsidR="0036715C" w:rsidRPr="00005310" w:rsidRDefault="0036715C" w:rsidP="0036715C">
      <w:pPr>
        <w:rPr>
          <w:lang w:val="uk-UA"/>
        </w:rPr>
      </w:pPr>
    </w:p>
    <w:p w:rsidR="0036715C" w:rsidRPr="00005310" w:rsidRDefault="0036715C" w:rsidP="0036715C">
      <w:pPr>
        <w:rPr>
          <w:u w:val="single"/>
          <w:lang w:val="uk-UA"/>
        </w:rPr>
      </w:pPr>
      <w:r w:rsidRPr="00005310">
        <w:rPr>
          <w:lang w:val="uk-UA"/>
        </w:rPr>
        <w:t xml:space="preserve">Семестр та рік навчання  </w:t>
      </w:r>
      <w:r w:rsidRPr="00005310">
        <w:rPr>
          <w:u w:val="single"/>
          <w:lang w:val="uk-UA"/>
        </w:rPr>
        <w:t>І</w:t>
      </w:r>
      <w:r w:rsidR="0031141F">
        <w:rPr>
          <w:u w:val="single"/>
          <w:lang w:val="uk-UA"/>
        </w:rPr>
        <w:t xml:space="preserve"> семестр 23-24</w:t>
      </w:r>
      <w:r>
        <w:rPr>
          <w:u w:val="single"/>
          <w:lang w:val="uk-UA"/>
        </w:rPr>
        <w:t xml:space="preserve">  </w:t>
      </w:r>
      <w:r w:rsidRPr="00005310">
        <w:rPr>
          <w:u w:val="single"/>
          <w:lang w:val="uk-UA"/>
        </w:rPr>
        <w:t xml:space="preserve"> навчального року</w:t>
      </w:r>
    </w:p>
    <w:p w:rsidR="0036715C" w:rsidRPr="00005310" w:rsidRDefault="0036715C" w:rsidP="0036715C">
      <w:pPr>
        <w:rPr>
          <w:u w:val="single"/>
          <w:lang w:val="uk-UA"/>
        </w:rPr>
      </w:pPr>
      <w:r w:rsidRPr="00005310">
        <w:rPr>
          <w:lang w:val="uk-UA"/>
        </w:rPr>
        <w:t xml:space="preserve">Освітній рівень </w:t>
      </w:r>
      <w:r w:rsidRPr="00005310">
        <w:rPr>
          <w:u w:val="single"/>
          <w:lang w:val="uk-UA"/>
        </w:rPr>
        <w:t>перший (бакалавр)</w:t>
      </w:r>
    </w:p>
    <w:p w:rsidR="0036715C" w:rsidRPr="00005310" w:rsidRDefault="0036715C" w:rsidP="0036715C">
      <w:pPr>
        <w:rPr>
          <w:lang w:val="uk-UA"/>
        </w:rPr>
      </w:pPr>
      <w:r w:rsidRPr="00005310">
        <w:rPr>
          <w:lang w:val="uk-UA"/>
        </w:rPr>
        <w:t xml:space="preserve">Галузь знань </w:t>
      </w:r>
      <w:r w:rsidRPr="00005310">
        <w:rPr>
          <w:u w:val="single"/>
          <w:lang w:val="uk-UA"/>
        </w:rPr>
        <w:t>27 Транспорт</w:t>
      </w:r>
      <w:r w:rsidRPr="00005310">
        <w:rPr>
          <w:lang w:val="uk-UA"/>
        </w:rPr>
        <w:t xml:space="preserve"> </w:t>
      </w:r>
    </w:p>
    <w:p w:rsidR="0036715C" w:rsidRPr="00005310" w:rsidRDefault="0036715C" w:rsidP="0036715C">
      <w:pPr>
        <w:rPr>
          <w:lang w:val="uk-UA"/>
        </w:rPr>
      </w:pPr>
      <w:r w:rsidRPr="00005310">
        <w:rPr>
          <w:lang w:val="uk-UA"/>
        </w:rPr>
        <w:t xml:space="preserve">Шифр та назва спеціальності </w:t>
      </w:r>
      <w:r w:rsidRPr="00005310">
        <w:rPr>
          <w:u w:val="single"/>
          <w:lang w:val="uk-UA"/>
        </w:rPr>
        <w:t>275.02 Транспортні технології (на залізничному транспорті)</w:t>
      </w:r>
    </w:p>
    <w:p w:rsidR="0036715C" w:rsidRPr="00005310" w:rsidRDefault="0036715C" w:rsidP="0036715C">
      <w:pPr>
        <w:rPr>
          <w:lang w:val="uk-UA"/>
        </w:rPr>
      </w:pPr>
    </w:p>
    <w:p w:rsidR="0036715C" w:rsidRPr="00005310" w:rsidRDefault="0036715C" w:rsidP="0036715C">
      <w:pPr>
        <w:rPr>
          <w:lang w:val="uk-UA"/>
        </w:rPr>
      </w:pPr>
      <w:r w:rsidRPr="00005310">
        <w:rPr>
          <w:lang w:val="uk-UA"/>
        </w:rPr>
        <w:t xml:space="preserve">Лекції та практичні заняття відповідно до розкладу </w:t>
      </w:r>
      <w:hyperlink r:id="rId6" w:history="1">
        <w:r w:rsidRPr="00005310">
          <w:rPr>
            <w:rStyle w:val="a3"/>
          </w:rPr>
          <w:t>http://rasp</w:t>
        </w:r>
        <w:r w:rsidRPr="00005310">
          <w:rPr>
            <w:rStyle w:val="a3"/>
            <w:lang w:val="uk-UA"/>
          </w:rPr>
          <w:t>.</w:t>
        </w:r>
        <w:r w:rsidRPr="00005310">
          <w:rPr>
            <w:rStyle w:val="a3"/>
          </w:rPr>
          <w:t>kart.edu.ua</w:t>
        </w:r>
      </w:hyperlink>
      <w:r w:rsidRPr="00005310">
        <w:rPr>
          <w:lang w:val="uk-UA"/>
        </w:rPr>
        <w:t xml:space="preserve"> </w:t>
      </w:r>
    </w:p>
    <w:p w:rsidR="0036715C" w:rsidRPr="00005310" w:rsidRDefault="0036715C" w:rsidP="0036715C">
      <w:pPr>
        <w:rPr>
          <w:lang w:val="uk-UA"/>
        </w:rPr>
      </w:pPr>
    </w:p>
    <w:p w:rsidR="0036715C" w:rsidRPr="0036715C" w:rsidRDefault="0036715C" w:rsidP="0036715C">
      <w:pPr>
        <w:rPr>
          <w:sz w:val="28"/>
          <w:szCs w:val="28"/>
        </w:rPr>
      </w:pPr>
    </w:p>
    <w:p w:rsidR="0036715C" w:rsidRDefault="0036715C" w:rsidP="0036715C">
      <w:pPr>
        <w:rPr>
          <w:lang w:val="uk-UA"/>
        </w:rPr>
      </w:pPr>
    </w:p>
    <w:p w:rsidR="0036715C" w:rsidRDefault="0036715C" w:rsidP="0036715C">
      <w:pPr>
        <w:rPr>
          <w:lang w:val="uk-UA"/>
        </w:rPr>
      </w:pPr>
      <w:r w:rsidRPr="00C070CF">
        <w:rPr>
          <w:lang w:val="uk-UA"/>
        </w:rPr>
        <w:t>1.</w:t>
      </w:r>
      <w:r>
        <w:rPr>
          <w:lang w:val="uk-UA"/>
        </w:rPr>
        <w:t xml:space="preserve"> </w:t>
      </w:r>
      <w:r w:rsidRPr="003A312D">
        <w:rPr>
          <w:lang w:val="uk-UA"/>
        </w:rPr>
        <w:t>Команда викладачів:</w:t>
      </w:r>
    </w:p>
    <w:p w:rsidR="0036715C" w:rsidRPr="003A312D" w:rsidRDefault="0036715C" w:rsidP="0036715C">
      <w:pPr>
        <w:rPr>
          <w:lang w:val="uk-UA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36715C" w:rsidRPr="00660735" w:rsidTr="00B35262">
        <w:tc>
          <w:tcPr>
            <w:tcW w:w="9572" w:type="dxa"/>
            <w:shd w:val="clear" w:color="auto" w:fill="auto"/>
          </w:tcPr>
          <w:p w:rsidR="0036715C" w:rsidRPr="00BF3B7E" w:rsidRDefault="0036715C" w:rsidP="00B35262">
            <w:pPr>
              <w:rPr>
                <w:b/>
                <w:lang w:val="uk-UA"/>
              </w:rPr>
            </w:pPr>
            <w:r w:rsidRPr="00BF3B7E">
              <w:rPr>
                <w:b/>
                <w:lang w:val="uk-UA"/>
              </w:rPr>
              <w:t>Лектор</w:t>
            </w:r>
            <w:r w:rsidR="00271243">
              <w:rPr>
                <w:b/>
                <w:lang w:val="uk-UA"/>
              </w:rPr>
              <w:t>и</w:t>
            </w:r>
            <w:r w:rsidRPr="00BF3B7E">
              <w:rPr>
                <w:b/>
                <w:lang w:val="uk-UA"/>
              </w:rPr>
              <w:t xml:space="preserve">: </w:t>
            </w:r>
          </w:p>
          <w:p w:rsidR="0036715C" w:rsidRPr="00153B9E" w:rsidRDefault="0036715C" w:rsidP="0036715C">
            <w:pPr>
              <w:rPr>
                <w:lang w:val="uk-UA"/>
              </w:rPr>
            </w:pPr>
            <w:r w:rsidRPr="00153B9E">
              <w:rPr>
                <w:lang w:val="uk-UA"/>
              </w:rPr>
              <w:t>Кульова Дар</w:t>
            </w:r>
            <w:r w:rsidRPr="004B1B77">
              <w:t>’</w:t>
            </w:r>
            <w:r w:rsidR="00271243">
              <w:rPr>
                <w:lang w:val="uk-UA"/>
              </w:rPr>
              <w:t>я Олександрівна (доктор філософії</w:t>
            </w:r>
            <w:r w:rsidRPr="00153B9E">
              <w:rPr>
                <w:lang w:val="uk-UA"/>
              </w:rPr>
              <w:t>, асистент),</w:t>
            </w:r>
          </w:p>
          <w:p w:rsidR="00271243" w:rsidRPr="00602CFA" w:rsidRDefault="0036715C" w:rsidP="0036715C">
            <w:pPr>
              <w:rPr>
                <w:color w:val="0000FF"/>
                <w:u w:val="single"/>
              </w:rPr>
            </w:pPr>
            <w:r w:rsidRPr="00153B9E">
              <w:rPr>
                <w:b/>
                <w:lang w:val="uk-UA"/>
              </w:rPr>
              <w:t>Контакти:</w:t>
            </w:r>
            <w:r w:rsidRPr="00153B9E">
              <w:rPr>
                <w:i/>
                <w:iCs/>
                <w:shd w:val="clear" w:color="auto" w:fill="FFFFFF"/>
                <w:lang w:val="uk-UA"/>
              </w:rPr>
              <w:t xml:space="preserve">+38 (057) 730-10-85, </w:t>
            </w:r>
            <w:r w:rsidRPr="00153B9E">
              <w:rPr>
                <w:shd w:val="clear" w:color="auto" w:fill="FFFFFF"/>
                <w:lang w:val="uk-UA"/>
              </w:rPr>
              <w:t>e-</w:t>
            </w:r>
            <w:proofErr w:type="spellStart"/>
            <w:r w:rsidRPr="00153B9E">
              <w:rPr>
                <w:shd w:val="clear" w:color="auto" w:fill="FFFFFF"/>
                <w:lang w:val="uk-UA"/>
              </w:rPr>
              <w:t>mail</w:t>
            </w:r>
            <w:proofErr w:type="spellEnd"/>
            <w:r w:rsidRPr="00153B9E">
              <w:rPr>
                <w:shd w:val="clear" w:color="auto" w:fill="FFFFFF"/>
                <w:lang w:val="uk-UA"/>
              </w:rPr>
              <w:t xml:space="preserve">: </w:t>
            </w:r>
            <w:hyperlink r:id="rId7" w:history="1">
              <w:r w:rsidRPr="00153B9E">
                <w:rPr>
                  <w:rStyle w:val="a3"/>
                  <w:lang w:val="en-US"/>
                </w:rPr>
                <w:t>kulova</w:t>
              </w:r>
              <w:r w:rsidRPr="00153B9E">
                <w:rPr>
                  <w:rStyle w:val="a3"/>
                  <w:lang w:val="uk-UA"/>
                </w:rPr>
                <w:t>.</w:t>
              </w:r>
              <w:r w:rsidRPr="006A3061">
                <w:rPr>
                  <w:rStyle w:val="a3"/>
                </w:rPr>
                <w:t>uvkr</w:t>
              </w:r>
              <w:r w:rsidRPr="00153B9E">
                <w:rPr>
                  <w:rStyle w:val="a3"/>
                  <w:lang w:val="uk-UA"/>
                </w:rPr>
                <w:t>@</w:t>
              </w:r>
              <w:r w:rsidRPr="006A3061">
                <w:rPr>
                  <w:rStyle w:val="a3"/>
                </w:rPr>
                <w:t>kart</w:t>
              </w:r>
              <w:r w:rsidRPr="00153B9E">
                <w:rPr>
                  <w:rStyle w:val="a3"/>
                  <w:lang w:val="uk-UA"/>
                </w:rPr>
                <w:t>.</w:t>
              </w:r>
              <w:r w:rsidRPr="006A3061">
                <w:rPr>
                  <w:rStyle w:val="a3"/>
                </w:rPr>
                <w:t>edu</w:t>
              </w:r>
              <w:r w:rsidRPr="00153B9E">
                <w:rPr>
                  <w:rStyle w:val="a3"/>
                  <w:lang w:val="uk-UA"/>
                </w:rPr>
                <w:t>.</w:t>
              </w:r>
              <w:r w:rsidRPr="006A3061">
                <w:rPr>
                  <w:rStyle w:val="a3"/>
                </w:rPr>
                <w:t>ua</w:t>
              </w:r>
            </w:hyperlink>
          </w:p>
        </w:tc>
      </w:tr>
      <w:tr w:rsidR="0036715C" w:rsidRPr="00660735" w:rsidTr="00B35262">
        <w:tc>
          <w:tcPr>
            <w:tcW w:w="9572" w:type="dxa"/>
            <w:shd w:val="clear" w:color="auto" w:fill="auto"/>
          </w:tcPr>
          <w:p w:rsidR="0036715C" w:rsidRDefault="00271243" w:rsidP="00B352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Асистенти лекторів</w:t>
            </w:r>
            <w:r w:rsidRPr="00271243">
              <w:rPr>
                <w:b/>
                <w:lang w:val="uk-UA"/>
              </w:rPr>
              <w:t>:</w:t>
            </w:r>
          </w:p>
          <w:p w:rsidR="00271243" w:rsidRPr="00153B9E" w:rsidRDefault="00271243" w:rsidP="00271243">
            <w:pPr>
              <w:rPr>
                <w:lang w:val="uk-UA"/>
              </w:rPr>
            </w:pPr>
            <w:r w:rsidRPr="00153B9E">
              <w:rPr>
                <w:lang w:val="uk-UA"/>
              </w:rPr>
              <w:t>Кульова Дар</w:t>
            </w:r>
            <w:r w:rsidRPr="004B1B77">
              <w:t>’</w:t>
            </w:r>
            <w:r>
              <w:rPr>
                <w:lang w:val="uk-UA"/>
              </w:rPr>
              <w:t>я Олександрівна (доктор філософії</w:t>
            </w:r>
            <w:r w:rsidRPr="00153B9E">
              <w:rPr>
                <w:lang w:val="uk-UA"/>
              </w:rPr>
              <w:t>, асистент),</w:t>
            </w:r>
          </w:p>
          <w:p w:rsidR="00271243" w:rsidRDefault="00271243" w:rsidP="00271243">
            <w:pPr>
              <w:rPr>
                <w:rStyle w:val="a3"/>
              </w:rPr>
            </w:pPr>
            <w:r w:rsidRPr="00153B9E">
              <w:rPr>
                <w:b/>
                <w:lang w:val="uk-UA"/>
              </w:rPr>
              <w:t>Контакти:</w:t>
            </w:r>
            <w:r w:rsidRPr="00153B9E">
              <w:rPr>
                <w:i/>
                <w:iCs/>
                <w:shd w:val="clear" w:color="auto" w:fill="FFFFFF"/>
                <w:lang w:val="uk-UA"/>
              </w:rPr>
              <w:t xml:space="preserve">+38 (057) 730-10-85, </w:t>
            </w:r>
            <w:r w:rsidRPr="00153B9E">
              <w:rPr>
                <w:shd w:val="clear" w:color="auto" w:fill="FFFFFF"/>
                <w:lang w:val="uk-UA"/>
              </w:rPr>
              <w:t>e-</w:t>
            </w:r>
            <w:proofErr w:type="spellStart"/>
            <w:r w:rsidRPr="00153B9E">
              <w:rPr>
                <w:shd w:val="clear" w:color="auto" w:fill="FFFFFF"/>
                <w:lang w:val="uk-UA"/>
              </w:rPr>
              <w:t>mail</w:t>
            </w:r>
            <w:proofErr w:type="spellEnd"/>
            <w:r w:rsidRPr="00153B9E">
              <w:rPr>
                <w:shd w:val="clear" w:color="auto" w:fill="FFFFFF"/>
                <w:lang w:val="uk-UA"/>
              </w:rPr>
              <w:t xml:space="preserve">: </w:t>
            </w:r>
            <w:hyperlink r:id="rId8" w:history="1">
              <w:r w:rsidRPr="00153B9E">
                <w:rPr>
                  <w:rStyle w:val="a3"/>
                  <w:lang w:val="en-US"/>
                </w:rPr>
                <w:t>kulova</w:t>
              </w:r>
              <w:r w:rsidRPr="00153B9E">
                <w:rPr>
                  <w:rStyle w:val="a3"/>
                  <w:lang w:val="uk-UA"/>
                </w:rPr>
                <w:t>.</w:t>
              </w:r>
              <w:r w:rsidRPr="006A3061">
                <w:rPr>
                  <w:rStyle w:val="a3"/>
                </w:rPr>
                <w:t>uvkr</w:t>
              </w:r>
              <w:r w:rsidRPr="00153B9E">
                <w:rPr>
                  <w:rStyle w:val="a3"/>
                  <w:lang w:val="uk-UA"/>
                </w:rPr>
                <w:t>@</w:t>
              </w:r>
              <w:r w:rsidRPr="006A3061">
                <w:rPr>
                  <w:rStyle w:val="a3"/>
                </w:rPr>
                <w:t>kart</w:t>
              </w:r>
              <w:r w:rsidRPr="00153B9E">
                <w:rPr>
                  <w:rStyle w:val="a3"/>
                  <w:lang w:val="uk-UA"/>
                </w:rPr>
                <w:t>.</w:t>
              </w:r>
              <w:r w:rsidRPr="006A3061">
                <w:rPr>
                  <w:rStyle w:val="a3"/>
                </w:rPr>
                <w:t>edu</w:t>
              </w:r>
              <w:r w:rsidRPr="00153B9E">
                <w:rPr>
                  <w:rStyle w:val="a3"/>
                  <w:lang w:val="uk-UA"/>
                </w:rPr>
                <w:t>.</w:t>
              </w:r>
              <w:proofErr w:type="spellStart"/>
              <w:r w:rsidRPr="006A3061">
                <w:rPr>
                  <w:rStyle w:val="a3"/>
                </w:rPr>
                <w:t>ua</w:t>
              </w:r>
              <w:proofErr w:type="spellEnd"/>
            </w:hyperlink>
          </w:p>
          <w:p w:rsidR="00271243" w:rsidRPr="00271243" w:rsidRDefault="00271243" w:rsidP="00271243">
            <w:pPr>
              <w:rPr>
                <w:rStyle w:val="a3"/>
                <w:color w:val="auto"/>
                <w:u w:val="none"/>
                <w:lang w:val="uk-UA"/>
              </w:rPr>
            </w:pPr>
            <w:r w:rsidRPr="00271243">
              <w:rPr>
                <w:rStyle w:val="a3"/>
                <w:color w:val="auto"/>
                <w:u w:val="none"/>
                <w:lang w:val="uk-UA"/>
              </w:rPr>
              <w:t>Ковальов Антон Олександрович (</w:t>
            </w:r>
            <w:r>
              <w:t xml:space="preserve">кандидат </w:t>
            </w:r>
            <w:proofErr w:type="spellStart"/>
            <w:r>
              <w:t>технічних</w:t>
            </w:r>
            <w:proofErr w:type="spellEnd"/>
            <w:r>
              <w:t xml:space="preserve"> наук</w:t>
            </w:r>
            <w:r w:rsidRPr="00271243">
              <w:rPr>
                <w:rStyle w:val="a3"/>
                <w:color w:val="auto"/>
                <w:u w:val="none"/>
                <w:lang w:val="uk-UA"/>
              </w:rPr>
              <w:t>, доцент)</w:t>
            </w:r>
          </w:p>
          <w:p w:rsidR="00271243" w:rsidRPr="00602CFA" w:rsidRDefault="00271243" w:rsidP="00602CFA">
            <w:pPr>
              <w:rPr>
                <w:shd w:val="clear" w:color="auto" w:fill="FFFFFF"/>
                <w:lang w:val="en-US"/>
              </w:rPr>
            </w:pPr>
            <w:r w:rsidRPr="00153B9E">
              <w:rPr>
                <w:b/>
                <w:lang w:val="uk-UA"/>
              </w:rPr>
              <w:t>Контакти:</w:t>
            </w:r>
            <w:r w:rsidRPr="00153B9E">
              <w:rPr>
                <w:i/>
                <w:iCs/>
                <w:shd w:val="clear" w:color="auto" w:fill="FFFFFF"/>
                <w:lang w:val="uk-UA"/>
              </w:rPr>
              <w:t xml:space="preserve">+38 (057) 730-10-85, </w:t>
            </w:r>
            <w:r w:rsidRPr="00153B9E">
              <w:rPr>
                <w:shd w:val="clear" w:color="auto" w:fill="FFFFFF"/>
                <w:lang w:val="uk-UA"/>
              </w:rPr>
              <w:t>e-</w:t>
            </w:r>
            <w:proofErr w:type="spellStart"/>
            <w:r w:rsidRPr="00153B9E">
              <w:rPr>
                <w:shd w:val="clear" w:color="auto" w:fill="FFFFFF"/>
                <w:lang w:val="uk-UA"/>
              </w:rPr>
              <w:t>mail</w:t>
            </w:r>
            <w:proofErr w:type="spellEnd"/>
            <w:r w:rsidRPr="00153B9E">
              <w:rPr>
                <w:shd w:val="clear" w:color="auto" w:fill="FFFFFF"/>
                <w:lang w:val="uk-UA"/>
              </w:rPr>
              <w:t>: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hyperlink r:id="rId9" w:history="1">
              <w:r w:rsidRPr="0042518A">
                <w:rPr>
                  <w:rStyle w:val="a3"/>
                  <w:shd w:val="clear" w:color="auto" w:fill="FFFFFF"/>
                  <w:lang w:val="en-US"/>
                </w:rPr>
                <w:t>kovalov</w:t>
              </w:r>
              <w:r w:rsidRPr="0042518A">
                <w:rPr>
                  <w:rStyle w:val="a3"/>
                  <w:shd w:val="clear" w:color="auto" w:fill="FFFFFF"/>
                </w:rPr>
                <w:t>.</w:t>
              </w:r>
              <w:r w:rsidRPr="0042518A">
                <w:rPr>
                  <w:rStyle w:val="a3"/>
                  <w:shd w:val="clear" w:color="auto" w:fill="FFFFFF"/>
                  <w:lang w:val="en-US"/>
                </w:rPr>
                <w:t>uvkr</w:t>
              </w:r>
              <w:r w:rsidRPr="0042518A">
                <w:rPr>
                  <w:rStyle w:val="a3"/>
                  <w:shd w:val="clear" w:color="auto" w:fill="FFFFFF"/>
                </w:rPr>
                <w:t>@</w:t>
              </w:r>
              <w:r w:rsidRPr="0042518A">
                <w:rPr>
                  <w:rStyle w:val="a3"/>
                  <w:shd w:val="clear" w:color="auto" w:fill="FFFFFF"/>
                  <w:lang w:val="en-US"/>
                </w:rPr>
                <w:t>kart</w:t>
              </w:r>
              <w:r w:rsidRPr="0042518A">
                <w:rPr>
                  <w:rStyle w:val="a3"/>
                  <w:shd w:val="clear" w:color="auto" w:fill="FFFFFF"/>
                </w:rPr>
                <w:t>.</w:t>
              </w:r>
              <w:r w:rsidRPr="0042518A">
                <w:rPr>
                  <w:rStyle w:val="a3"/>
                  <w:shd w:val="clear" w:color="auto" w:fill="FFFFFF"/>
                  <w:lang w:val="en-US"/>
                </w:rPr>
                <w:t>edu</w:t>
              </w:r>
              <w:r w:rsidRPr="0042518A">
                <w:rPr>
                  <w:rStyle w:val="a3"/>
                  <w:shd w:val="clear" w:color="auto" w:fill="FFFFFF"/>
                </w:rPr>
                <w:t>.</w:t>
              </w:r>
              <w:proofErr w:type="spellStart"/>
              <w:r w:rsidRPr="0042518A">
                <w:rPr>
                  <w:rStyle w:val="a3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36715C" w:rsidRPr="00660735" w:rsidTr="00B35262">
        <w:tc>
          <w:tcPr>
            <w:tcW w:w="9572" w:type="dxa"/>
            <w:shd w:val="clear" w:color="auto" w:fill="auto"/>
          </w:tcPr>
          <w:p w:rsidR="0036715C" w:rsidRPr="00660735" w:rsidRDefault="0036715C" w:rsidP="00B35262">
            <w:pPr>
              <w:rPr>
                <w:lang w:val="uk-UA"/>
              </w:rPr>
            </w:pPr>
            <w:r w:rsidRPr="00660735">
              <w:rPr>
                <w:lang w:val="uk-UA"/>
              </w:rPr>
              <w:t xml:space="preserve">Веб сторінка курсу: </w:t>
            </w:r>
            <w:r w:rsidR="0060348A" w:rsidRPr="0060348A">
              <w:t>https://do.kart.edu.ua/course/view.php?id=8387</w:t>
            </w:r>
          </w:p>
          <w:p w:rsidR="0036715C" w:rsidRPr="00660735" w:rsidRDefault="0036715C" w:rsidP="00B35262">
            <w:pPr>
              <w:rPr>
                <w:lang w:val="uk-UA"/>
              </w:rPr>
            </w:pPr>
            <w:r w:rsidRPr="00660735">
              <w:rPr>
                <w:lang w:val="uk-UA"/>
              </w:rPr>
              <w:t xml:space="preserve">Додаткові інформаційні матеріали: </w:t>
            </w:r>
            <w:hyperlink r:id="rId10" w:history="1">
              <w:r w:rsidRPr="00660735">
                <w:rPr>
                  <w:rStyle w:val="a3"/>
                  <w:lang w:val="uk-UA"/>
                </w:rPr>
                <w:t>http://metod.kart.edu.ua</w:t>
              </w:r>
            </w:hyperlink>
          </w:p>
        </w:tc>
      </w:tr>
    </w:tbl>
    <w:p w:rsidR="007F79DF" w:rsidRDefault="007F79DF">
      <w:pPr>
        <w:rPr>
          <w:sz w:val="28"/>
          <w:szCs w:val="28"/>
          <w:lang w:val="uk-UA"/>
        </w:rPr>
      </w:pPr>
    </w:p>
    <w:p w:rsidR="0036715C" w:rsidRDefault="0036715C">
      <w:pPr>
        <w:rPr>
          <w:sz w:val="28"/>
          <w:szCs w:val="28"/>
          <w:lang w:val="uk-UA"/>
        </w:rPr>
      </w:pPr>
    </w:p>
    <w:p w:rsidR="0036715C" w:rsidRDefault="0036715C">
      <w:pPr>
        <w:rPr>
          <w:sz w:val="28"/>
          <w:szCs w:val="28"/>
          <w:lang w:val="uk-UA"/>
        </w:rPr>
      </w:pPr>
    </w:p>
    <w:p w:rsidR="0036715C" w:rsidRDefault="00CF2784">
      <w:pPr>
        <w:rPr>
          <w:sz w:val="28"/>
          <w:szCs w:val="28"/>
          <w:lang w:val="uk-UA"/>
        </w:rPr>
      </w:pPr>
      <w:r w:rsidRPr="00CF2784">
        <w:rPr>
          <w:noProof/>
          <w:sz w:val="28"/>
          <w:szCs w:val="28"/>
        </w:rPr>
        <w:lastRenderedPageBreak/>
        <w:drawing>
          <wp:inline distT="0" distB="0" distL="0" distR="0" wp14:anchorId="38DDF1D6" wp14:editId="74F04486">
            <wp:extent cx="2646362" cy="1539875"/>
            <wp:effectExtent l="0" t="0" r="1905" b="3175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62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165E64">
        <w:rPr>
          <w:noProof/>
          <w:lang w:val="uk-UA"/>
        </w:rPr>
        <w:t xml:space="preserve"> </w:t>
      </w:r>
      <w:r w:rsidRPr="00CF2784">
        <w:rPr>
          <w:noProof/>
          <w:sz w:val="28"/>
          <w:szCs w:val="28"/>
        </w:rPr>
        <w:drawing>
          <wp:inline distT="0" distB="0" distL="0" distR="0" wp14:anchorId="692A612F" wp14:editId="19DF36AC">
            <wp:extent cx="1981200" cy="1657350"/>
            <wp:effectExtent l="0" t="0" r="0" b="0"/>
            <wp:docPr id="308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Рисунок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165E64">
        <w:rPr>
          <w:noProof/>
          <w:lang w:val="uk-UA"/>
        </w:rPr>
        <w:t xml:space="preserve"> </w:t>
      </w:r>
      <w:r w:rsidRPr="00CF2784">
        <w:rPr>
          <w:noProof/>
        </w:rPr>
        <w:drawing>
          <wp:inline distT="0" distB="0" distL="0" distR="0" wp14:anchorId="495F08CE" wp14:editId="35A12A37">
            <wp:extent cx="1941513" cy="1111250"/>
            <wp:effectExtent l="0" t="0" r="1905" b="0"/>
            <wp:docPr id="308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Рисунок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513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6715C" w:rsidRDefault="0036715C" w:rsidP="0036715C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t>Програма вивчення</w:t>
      </w:r>
      <w:r w:rsidRPr="00643AA5">
        <w:rPr>
          <w:lang w:val="uk-UA"/>
        </w:rPr>
        <w:t xml:space="preserve"> навчальної дисципліни </w:t>
      </w:r>
      <w:r>
        <w:rPr>
          <w:lang w:val="uk-UA"/>
        </w:rPr>
        <w:t>«Ризик-орієнтовані технології перевезень»</w:t>
      </w:r>
      <w:r w:rsidRPr="00643AA5">
        <w:rPr>
          <w:lang w:val="uk-UA"/>
        </w:rPr>
        <w:t xml:space="preserve"> складена відповідно до освітньо-професійної програми підготовки бакалаврів спеціальності 275.02 Транспортні технології (на залізничному транспорті).</w:t>
      </w:r>
      <w:r w:rsidRPr="00643AA5">
        <w:rPr>
          <w:sz w:val="28"/>
          <w:szCs w:val="28"/>
          <w:lang w:val="uk-UA"/>
        </w:rPr>
        <w:t xml:space="preserve"> </w:t>
      </w:r>
    </w:p>
    <w:p w:rsidR="0036715C" w:rsidRPr="00574783" w:rsidRDefault="00574783" w:rsidP="00574783">
      <w:pPr>
        <w:ind w:firstLine="720"/>
        <w:jc w:val="both"/>
        <w:rPr>
          <w:lang w:val="uk-UA"/>
        </w:rPr>
      </w:pPr>
      <w:r>
        <w:rPr>
          <w:lang w:val="uk-UA"/>
        </w:rPr>
        <w:t xml:space="preserve">Забезпечення високого рівня безпеки під час перевізного процесу є стратегічно важливою </w:t>
      </w:r>
      <w:proofErr w:type="spellStart"/>
      <w:r>
        <w:rPr>
          <w:lang w:val="uk-UA"/>
        </w:rPr>
        <w:t>компонентою</w:t>
      </w:r>
      <w:proofErr w:type="spellEnd"/>
      <w:r>
        <w:rPr>
          <w:lang w:val="uk-UA"/>
        </w:rPr>
        <w:t xml:space="preserve"> роботи транспортної системи України. Залізничний транспорт займає провідне місце серед інших видів транспорту, однак питання покращення умов його експлуатації та забезпечення безпеки під час транспортування пасажирів та вантажів залишається актуальним і на сьогоднішній день. Найбільш ефективним і </w:t>
      </w:r>
      <w:proofErr w:type="spellStart"/>
      <w:r>
        <w:rPr>
          <w:lang w:val="uk-UA"/>
        </w:rPr>
        <w:t>трендовим</w:t>
      </w:r>
      <w:proofErr w:type="spellEnd"/>
      <w:r>
        <w:rPr>
          <w:lang w:val="uk-UA"/>
        </w:rPr>
        <w:t xml:space="preserve"> напрямком в даному питанні є процес управління ризиками. </w:t>
      </w:r>
    </w:p>
    <w:p w:rsidR="0036715C" w:rsidRDefault="0036715C" w:rsidP="0036715C">
      <w:pPr>
        <w:spacing w:line="260" w:lineRule="auto"/>
        <w:ind w:right="40" w:firstLine="720"/>
        <w:jc w:val="both"/>
        <w:rPr>
          <w:rFonts w:eastAsia="Arial"/>
          <w:lang w:val="uk-UA"/>
        </w:rPr>
      </w:pPr>
      <w:r w:rsidRPr="00574783">
        <w:rPr>
          <w:rFonts w:eastAsia="Arial"/>
          <w:lang w:val="uk-UA"/>
        </w:rPr>
        <w:t>Курс має на меті сформувати та розвинути наступні компетентності студентів:</w:t>
      </w:r>
    </w:p>
    <w:p w:rsidR="00A46AE5" w:rsidRPr="00A46AE5" w:rsidRDefault="00A46AE5" w:rsidP="00A46AE5">
      <w:pPr>
        <w:pStyle w:val="TableParagraph"/>
        <w:ind w:left="0" w:firstLine="720"/>
        <w:jc w:val="both"/>
        <w:rPr>
          <w:sz w:val="24"/>
          <w:szCs w:val="24"/>
        </w:rPr>
      </w:pPr>
      <w:r w:rsidRPr="00A46AE5">
        <w:rPr>
          <w:sz w:val="24"/>
          <w:szCs w:val="24"/>
          <w:lang w:eastAsia="ru-RU"/>
        </w:rPr>
        <w:t>ЗК</w:t>
      </w:r>
      <w:r w:rsidRPr="00A46AE5">
        <w:rPr>
          <w:sz w:val="24"/>
          <w:szCs w:val="24"/>
          <w:lang w:val="ru-RU" w:eastAsia="ru-RU"/>
        </w:rPr>
        <w:t xml:space="preserve"> </w:t>
      </w:r>
      <w:r w:rsidRPr="00A46AE5">
        <w:rPr>
          <w:sz w:val="24"/>
          <w:szCs w:val="24"/>
          <w:lang w:eastAsia="ru-RU"/>
        </w:rPr>
        <w:t>09 Навики здійснення безпечно</w:t>
      </w:r>
      <w:proofErr w:type="spellStart"/>
      <w:r w:rsidRPr="00A46AE5">
        <w:rPr>
          <w:sz w:val="24"/>
          <w:szCs w:val="24"/>
          <w:lang w:val="ru-RU" w:eastAsia="ru-RU"/>
        </w:rPr>
        <w:t>го</w:t>
      </w:r>
      <w:proofErr w:type="spellEnd"/>
      <w:r w:rsidRPr="00A46AE5">
        <w:rPr>
          <w:sz w:val="24"/>
          <w:szCs w:val="24"/>
          <w:lang w:val="ru-RU" w:eastAsia="ru-RU"/>
        </w:rPr>
        <w:t xml:space="preserve"> перев</w:t>
      </w:r>
      <w:proofErr w:type="spellStart"/>
      <w:r w:rsidRPr="00A46AE5">
        <w:rPr>
          <w:sz w:val="24"/>
          <w:szCs w:val="24"/>
          <w:lang w:eastAsia="ru-RU"/>
        </w:rPr>
        <w:t>ізного</w:t>
      </w:r>
      <w:proofErr w:type="spellEnd"/>
      <w:r w:rsidRPr="00A46AE5">
        <w:rPr>
          <w:sz w:val="24"/>
          <w:szCs w:val="24"/>
          <w:lang w:eastAsia="ru-RU"/>
        </w:rPr>
        <w:t xml:space="preserve"> процесу під час транспортування небезпечних вантажів;</w:t>
      </w:r>
    </w:p>
    <w:p w:rsidR="00A46AE5" w:rsidRPr="00A46AE5" w:rsidRDefault="00A46AE5" w:rsidP="00A46AE5">
      <w:pPr>
        <w:ind w:firstLine="720"/>
        <w:jc w:val="both"/>
      </w:pPr>
      <w:r w:rsidRPr="00A46AE5">
        <w:t xml:space="preserve">ЗК 11 </w:t>
      </w:r>
      <w:proofErr w:type="spellStart"/>
      <w:r w:rsidRPr="00A46AE5">
        <w:t>Здатність</w:t>
      </w:r>
      <w:proofErr w:type="spellEnd"/>
      <w:r w:rsidRPr="00A46AE5">
        <w:t xml:space="preserve"> </w:t>
      </w:r>
      <w:proofErr w:type="spellStart"/>
      <w:r w:rsidRPr="00A46AE5">
        <w:t>працювати</w:t>
      </w:r>
      <w:proofErr w:type="spellEnd"/>
      <w:r w:rsidRPr="00A46AE5">
        <w:t xml:space="preserve"> автономно та в </w:t>
      </w:r>
      <w:proofErr w:type="spellStart"/>
      <w:r w:rsidRPr="00A46AE5">
        <w:t>команді</w:t>
      </w:r>
      <w:proofErr w:type="spellEnd"/>
      <w:r w:rsidRPr="00A46AE5">
        <w:t>;</w:t>
      </w:r>
    </w:p>
    <w:p w:rsidR="00A46AE5" w:rsidRPr="00A46AE5" w:rsidRDefault="00A46AE5" w:rsidP="00A46AE5">
      <w:pPr>
        <w:ind w:firstLine="720"/>
        <w:jc w:val="both"/>
      </w:pPr>
      <w:r w:rsidRPr="00A46AE5">
        <w:t xml:space="preserve">ЗК 13 </w:t>
      </w:r>
      <w:proofErr w:type="spellStart"/>
      <w:r w:rsidRPr="00A46AE5">
        <w:t>Здатність</w:t>
      </w:r>
      <w:proofErr w:type="spellEnd"/>
      <w:r w:rsidRPr="00A46AE5">
        <w:t xml:space="preserve"> до абстрактного </w:t>
      </w:r>
      <w:proofErr w:type="spellStart"/>
      <w:r w:rsidRPr="00A46AE5">
        <w:t>мислення</w:t>
      </w:r>
      <w:proofErr w:type="spellEnd"/>
      <w:r w:rsidRPr="00A46AE5">
        <w:t xml:space="preserve">, </w:t>
      </w:r>
      <w:proofErr w:type="spellStart"/>
      <w:r w:rsidRPr="00A46AE5">
        <w:t>аналізу</w:t>
      </w:r>
      <w:proofErr w:type="spellEnd"/>
      <w:r w:rsidRPr="00A46AE5">
        <w:t xml:space="preserve"> та синтезу;</w:t>
      </w:r>
    </w:p>
    <w:p w:rsidR="00A46AE5" w:rsidRPr="00A46AE5" w:rsidRDefault="00A46AE5" w:rsidP="00A46AE5">
      <w:pPr>
        <w:ind w:firstLine="720"/>
        <w:jc w:val="both"/>
      </w:pPr>
      <w:r w:rsidRPr="00A46AE5">
        <w:t xml:space="preserve">СК 03 </w:t>
      </w:r>
      <w:proofErr w:type="spellStart"/>
      <w:r w:rsidRPr="00A46AE5">
        <w:t>Здатність</w:t>
      </w:r>
      <w:proofErr w:type="spellEnd"/>
      <w:r w:rsidRPr="00A46AE5">
        <w:t xml:space="preserve"> </w:t>
      </w:r>
      <w:proofErr w:type="spellStart"/>
      <w:r w:rsidRPr="00A46AE5">
        <w:t>організовувати</w:t>
      </w:r>
      <w:proofErr w:type="spellEnd"/>
      <w:r w:rsidRPr="00A46AE5">
        <w:t xml:space="preserve"> та </w:t>
      </w:r>
      <w:proofErr w:type="spellStart"/>
      <w:r w:rsidRPr="00A46AE5">
        <w:t>управляти</w:t>
      </w:r>
      <w:proofErr w:type="spellEnd"/>
      <w:r w:rsidRPr="00A46AE5">
        <w:t xml:space="preserve"> </w:t>
      </w:r>
      <w:proofErr w:type="spellStart"/>
      <w:r w:rsidRPr="00A46AE5">
        <w:t>перевезенням</w:t>
      </w:r>
      <w:proofErr w:type="spellEnd"/>
      <w:r w:rsidRPr="00A46AE5">
        <w:t xml:space="preserve"> </w:t>
      </w:r>
      <w:proofErr w:type="spellStart"/>
      <w:r w:rsidRPr="00A46AE5">
        <w:t>звичайної</w:t>
      </w:r>
      <w:proofErr w:type="spellEnd"/>
      <w:r w:rsidRPr="00A46AE5">
        <w:t xml:space="preserve"> </w:t>
      </w:r>
      <w:proofErr w:type="spellStart"/>
      <w:r w:rsidRPr="00A46AE5">
        <w:t>категорії</w:t>
      </w:r>
      <w:proofErr w:type="spellEnd"/>
      <w:r w:rsidRPr="00A46AE5">
        <w:t xml:space="preserve"> та </w:t>
      </w:r>
      <w:proofErr w:type="spellStart"/>
      <w:r w:rsidRPr="00A46AE5">
        <w:t>небезпечних</w:t>
      </w:r>
      <w:proofErr w:type="spellEnd"/>
      <w:r w:rsidRPr="00A46AE5">
        <w:t xml:space="preserve"> вантажів.</w:t>
      </w:r>
    </w:p>
    <w:p w:rsidR="00A46AE5" w:rsidRPr="00A46AE5" w:rsidRDefault="00A46AE5" w:rsidP="00A46AE5">
      <w:pPr>
        <w:ind w:firstLine="720"/>
        <w:jc w:val="both"/>
      </w:pPr>
      <w:r w:rsidRPr="00A46AE5">
        <w:t xml:space="preserve">СК 14 </w:t>
      </w:r>
      <w:proofErr w:type="spellStart"/>
      <w:r w:rsidRPr="00A46AE5">
        <w:t>Здатність</w:t>
      </w:r>
      <w:proofErr w:type="spellEnd"/>
      <w:r w:rsidRPr="00A46AE5">
        <w:t xml:space="preserve"> </w:t>
      </w:r>
      <w:proofErr w:type="spellStart"/>
      <w:r w:rsidRPr="00A46AE5">
        <w:t>використовувати</w:t>
      </w:r>
      <w:proofErr w:type="spellEnd"/>
      <w:r w:rsidRPr="00A46AE5">
        <w:t xml:space="preserve"> </w:t>
      </w:r>
      <w:proofErr w:type="spellStart"/>
      <w:r w:rsidRPr="00A46AE5">
        <w:t>сучасні</w:t>
      </w:r>
      <w:proofErr w:type="spellEnd"/>
      <w:r w:rsidRPr="00A46AE5">
        <w:t xml:space="preserve"> </w:t>
      </w:r>
      <w:proofErr w:type="spellStart"/>
      <w:r w:rsidRPr="00A46AE5">
        <w:t>інформаційні</w:t>
      </w:r>
      <w:proofErr w:type="spellEnd"/>
      <w:r w:rsidRPr="00A46AE5">
        <w:t xml:space="preserve"> </w:t>
      </w:r>
      <w:proofErr w:type="spellStart"/>
      <w:r w:rsidRPr="00A46AE5">
        <w:t>технології</w:t>
      </w:r>
      <w:proofErr w:type="spellEnd"/>
      <w:r w:rsidRPr="00A46AE5">
        <w:t xml:space="preserve">, </w:t>
      </w:r>
      <w:proofErr w:type="spellStart"/>
      <w:r w:rsidRPr="00A46AE5">
        <w:t>автоматизовані</w:t>
      </w:r>
      <w:proofErr w:type="spellEnd"/>
      <w:r w:rsidRPr="00A46AE5">
        <w:t xml:space="preserve"> </w:t>
      </w:r>
      <w:proofErr w:type="spellStart"/>
      <w:r w:rsidRPr="00A46AE5">
        <w:t>системи</w:t>
      </w:r>
      <w:proofErr w:type="spellEnd"/>
      <w:r w:rsidRPr="00A46AE5">
        <w:t xml:space="preserve"> </w:t>
      </w:r>
      <w:proofErr w:type="spellStart"/>
      <w:r w:rsidRPr="00A46AE5">
        <w:t>керування</w:t>
      </w:r>
      <w:proofErr w:type="spellEnd"/>
      <w:r w:rsidRPr="00A46AE5">
        <w:t xml:space="preserve"> та </w:t>
      </w:r>
      <w:proofErr w:type="spellStart"/>
      <w:r w:rsidRPr="00A46AE5">
        <w:t>геоінформаційні</w:t>
      </w:r>
      <w:proofErr w:type="spellEnd"/>
      <w:r w:rsidRPr="00A46AE5">
        <w:t xml:space="preserve"> </w:t>
      </w:r>
      <w:proofErr w:type="spellStart"/>
      <w:r w:rsidRPr="00A46AE5">
        <w:t>системи</w:t>
      </w:r>
      <w:proofErr w:type="spellEnd"/>
      <w:r w:rsidRPr="00A46AE5">
        <w:t xml:space="preserve"> при </w:t>
      </w:r>
      <w:proofErr w:type="spellStart"/>
      <w:r w:rsidRPr="00A46AE5">
        <w:t>організації</w:t>
      </w:r>
      <w:proofErr w:type="spellEnd"/>
      <w:r w:rsidRPr="00A46AE5">
        <w:t xml:space="preserve"> </w:t>
      </w:r>
      <w:proofErr w:type="spellStart"/>
      <w:r w:rsidRPr="00A46AE5">
        <w:t>перевізного</w:t>
      </w:r>
      <w:proofErr w:type="spellEnd"/>
      <w:r w:rsidRPr="00A46AE5">
        <w:t xml:space="preserve"> </w:t>
      </w:r>
      <w:proofErr w:type="spellStart"/>
      <w:r w:rsidRPr="00A46AE5">
        <w:t>процесу</w:t>
      </w:r>
      <w:proofErr w:type="spellEnd"/>
      <w:r w:rsidRPr="00A46AE5">
        <w:t>;</w:t>
      </w:r>
    </w:p>
    <w:p w:rsidR="00A46AE5" w:rsidRDefault="00A46AE5" w:rsidP="00B24CE7">
      <w:pPr>
        <w:ind w:firstLine="720"/>
        <w:jc w:val="both"/>
      </w:pPr>
      <w:r>
        <w:t>РН 05</w:t>
      </w:r>
      <w:r w:rsidR="00B24CE7" w:rsidRPr="00B24CE7">
        <w:t xml:space="preserve"> </w:t>
      </w:r>
      <w:proofErr w:type="spellStart"/>
      <w:r>
        <w:t>Застосовувати</w:t>
      </w:r>
      <w:proofErr w:type="spellEnd"/>
      <w:r>
        <w:t xml:space="preserve">,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і </w:t>
      </w:r>
      <w:proofErr w:type="spellStart"/>
      <w:r>
        <w:t>комунікаційні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для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з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перевезень</w:t>
      </w:r>
      <w:proofErr w:type="spellEnd"/>
      <w:r>
        <w:t xml:space="preserve"> та </w:t>
      </w: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>;</w:t>
      </w:r>
    </w:p>
    <w:p w:rsidR="00B24CE7" w:rsidRDefault="00A46AE5" w:rsidP="00B24CE7">
      <w:pPr>
        <w:ind w:firstLine="720"/>
        <w:jc w:val="both"/>
      </w:pPr>
      <w:r>
        <w:t>РН 09</w:t>
      </w:r>
      <w:r w:rsidR="00B24CE7" w:rsidRPr="00B24CE7">
        <w:t xml:space="preserve"> </w:t>
      </w:r>
      <w:proofErr w:type="spellStart"/>
      <w:r>
        <w:t>Розробляти</w:t>
      </w:r>
      <w:proofErr w:type="spellEnd"/>
      <w:r>
        <w:t xml:space="preserve">, </w:t>
      </w:r>
      <w:proofErr w:type="spellStart"/>
      <w:r>
        <w:t>планувати</w:t>
      </w:r>
      <w:proofErr w:type="spellEnd"/>
      <w:r>
        <w:t xml:space="preserve">, </w:t>
      </w:r>
      <w:proofErr w:type="spellStart"/>
      <w:r>
        <w:t>впроваджувати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систем та </w:t>
      </w:r>
      <w:proofErr w:type="spellStart"/>
      <w:r>
        <w:t>технологій</w:t>
      </w:r>
      <w:proofErr w:type="spellEnd"/>
      <w:r>
        <w:t>;</w:t>
      </w:r>
    </w:p>
    <w:p w:rsidR="00A46AE5" w:rsidRDefault="00A46AE5" w:rsidP="00B24CE7">
      <w:pPr>
        <w:ind w:firstLine="720"/>
        <w:jc w:val="both"/>
      </w:pPr>
      <w:r>
        <w:t xml:space="preserve">РН 11 </w:t>
      </w:r>
      <w:proofErr w:type="spellStart"/>
      <w:r>
        <w:t>Класифікувати</w:t>
      </w:r>
      <w:proofErr w:type="spellEnd"/>
      <w:r>
        <w:t xml:space="preserve"> та </w:t>
      </w:r>
      <w:proofErr w:type="spellStart"/>
      <w:r>
        <w:t>ідентифікувати</w:t>
      </w:r>
      <w:proofErr w:type="spellEnd"/>
      <w:r>
        <w:t xml:space="preserve"> </w:t>
      </w:r>
      <w:proofErr w:type="spellStart"/>
      <w:r>
        <w:t>транспортні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і </w:t>
      </w:r>
      <w:proofErr w:type="spellStart"/>
      <w:r>
        <w:t>системи</w:t>
      </w:r>
      <w:proofErr w:type="spellEnd"/>
      <w:r>
        <w:t xml:space="preserve">. </w:t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систем.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системний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та </w:t>
      </w:r>
      <w:proofErr w:type="spellStart"/>
      <w:r>
        <w:t>прогнозування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систем;</w:t>
      </w:r>
    </w:p>
    <w:p w:rsidR="00A46AE5" w:rsidRPr="00B24CE7" w:rsidRDefault="00A46AE5" w:rsidP="00B24CE7">
      <w:pPr>
        <w:ind w:firstLine="720"/>
        <w:jc w:val="both"/>
      </w:pPr>
      <w:r>
        <w:t xml:space="preserve">РН 21 </w:t>
      </w:r>
      <w:proofErr w:type="spellStart"/>
      <w:r>
        <w:t>Впроваджувати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транспортної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36715C" w:rsidRDefault="0036715C" w:rsidP="0036715C">
      <w:pPr>
        <w:ind w:firstLine="709"/>
        <w:jc w:val="both"/>
        <w:rPr>
          <w:lang w:val="uk-UA"/>
        </w:rPr>
      </w:pPr>
    </w:p>
    <w:p w:rsidR="0036715C" w:rsidRDefault="0036715C" w:rsidP="0036715C">
      <w:pPr>
        <w:spacing w:line="0" w:lineRule="atLeast"/>
        <w:ind w:firstLine="440"/>
        <w:rPr>
          <w:rFonts w:ascii="Arial" w:eastAsia="Arial" w:hAnsi="Arial"/>
          <w:b/>
          <w:color w:val="345A8A"/>
          <w:sz w:val="32"/>
        </w:rPr>
      </w:pPr>
      <w:r>
        <w:rPr>
          <w:rFonts w:ascii="Arial" w:eastAsia="Arial" w:hAnsi="Arial"/>
          <w:b/>
          <w:color w:val="345A8A"/>
          <w:sz w:val="32"/>
          <w:lang w:val="uk-UA"/>
        </w:rPr>
        <w:t>Чому ви маєте обрати цей курс</w:t>
      </w:r>
      <w:r w:rsidRPr="008E09EE">
        <w:rPr>
          <w:rFonts w:ascii="Arial" w:eastAsia="Arial" w:hAnsi="Arial"/>
          <w:b/>
          <w:color w:val="345A8A"/>
          <w:sz w:val="32"/>
        </w:rPr>
        <w:t>?</w:t>
      </w:r>
    </w:p>
    <w:p w:rsidR="005F7F6B" w:rsidRDefault="005F7F6B" w:rsidP="005F7F6B">
      <w:pPr>
        <w:pStyle w:val="HTML"/>
        <w:tabs>
          <w:tab w:val="clear" w:pos="916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Pr="00E40381">
        <w:rPr>
          <w:rFonts w:ascii="Times New Roman" w:hAnsi="Times New Roman" w:cs="Times New Roman"/>
          <w:sz w:val="24"/>
          <w:szCs w:val="24"/>
          <w:lang w:val="uk-UA"/>
        </w:rPr>
        <w:t>вас цікав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E40381">
        <w:rPr>
          <w:rFonts w:ascii="Times New Roman" w:hAnsi="Times New Roman" w:cs="Times New Roman"/>
          <w:sz w:val="24"/>
          <w:szCs w:val="24"/>
          <w:lang w:val="uk-UA"/>
        </w:rPr>
        <w:t xml:space="preserve">ять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сучасні, інтелектуальні, ризик-орієнтовані технології перевезень 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питання управління ризиками</w:t>
      </w:r>
      <w:r w:rsidRPr="005F7F6B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 саме їх мінімізації</w:t>
      </w:r>
      <w:r w:rsidRPr="005F7F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 організації перевізного процесу</w:t>
      </w:r>
      <w:r w:rsidR="001636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636BD" w:rsidRPr="001636BD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="001636BD" w:rsidRPr="0016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BD" w:rsidRPr="001636BD">
        <w:rPr>
          <w:rFonts w:ascii="Times New Roman" w:hAnsi="Times New Roman" w:cs="Times New Roman"/>
          <w:sz w:val="24"/>
          <w:szCs w:val="24"/>
        </w:rPr>
        <w:t>дисципліна</w:t>
      </w:r>
      <w:proofErr w:type="spellEnd"/>
      <w:r w:rsidR="001636BD" w:rsidRPr="001636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636BD" w:rsidRPr="001636BD">
        <w:rPr>
          <w:rFonts w:ascii="Times New Roman" w:hAnsi="Times New Roman" w:cs="Times New Roman"/>
          <w:sz w:val="24"/>
          <w:szCs w:val="24"/>
        </w:rPr>
        <w:t>Ризик-орієнтовані</w:t>
      </w:r>
      <w:proofErr w:type="spellEnd"/>
      <w:r w:rsidR="001636BD" w:rsidRPr="0016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BD" w:rsidRPr="001636BD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="001636BD" w:rsidRPr="0016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BD" w:rsidRPr="001636BD">
        <w:rPr>
          <w:rFonts w:ascii="Times New Roman" w:hAnsi="Times New Roman" w:cs="Times New Roman"/>
          <w:sz w:val="24"/>
          <w:szCs w:val="24"/>
        </w:rPr>
        <w:t>перевезень</w:t>
      </w:r>
      <w:proofErr w:type="spellEnd"/>
      <w:r w:rsidR="001636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636B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1636BD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="001636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636BD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="001636BD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="001636BD">
        <w:rPr>
          <w:rFonts w:ascii="Times New Roman" w:hAnsi="Times New Roman" w:cs="Times New Roman"/>
          <w:sz w:val="24"/>
          <w:szCs w:val="24"/>
        </w:rPr>
        <w:t>!</w:t>
      </w:r>
    </w:p>
    <w:p w:rsidR="005F7F6B" w:rsidRDefault="005F7F6B" w:rsidP="005F7F6B">
      <w:pPr>
        <w:pStyle w:val="HTML"/>
        <w:tabs>
          <w:tab w:val="clear" w:pos="916"/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D6D71">
        <w:rPr>
          <w:rFonts w:ascii="Times New Roman" w:hAnsi="Times New Roman" w:cs="Times New Roman"/>
          <w:sz w:val="24"/>
          <w:szCs w:val="24"/>
          <w:lang w:val="uk-UA"/>
        </w:rPr>
        <w:t>Від здобувачів очікується: базове розуміння</w:t>
      </w:r>
      <w:r w:rsidR="00163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36BD" w:rsidRPr="001636B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процесу прийняття і виконання управлінських рішень, спрямованих на зниження ймовірності виникнення несприятливої події та мінімізацію можливих втрат в результаті її настання</w:t>
      </w:r>
      <w:r w:rsidR="001636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636BD" w:rsidRPr="001636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226A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найбільш </w:t>
      </w:r>
      <w:r w:rsidR="001636BD" w:rsidRPr="001636BD">
        <w:rPr>
          <w:rFonts w:ascii="Times New Roman" w:hAnsi="Times New Roman" w:cs="Times New Roman"/>
          <w:color w:val="000000"/>
          <w:sz w:val="24"/>
          <w:szCs w:val="24"/>
          <w:lang w:val="uk-UA"/>
        </w:rPr>
        <w:t>ефективного управління ризиками.</w:t>
      </w:r>
    </w:p>
    <w:p w:rsidR="00FF42A7" w:rsidRPr="001636BD" w:rsidRDefault="001636BD" w:rsidP="001636BD">
      <w:pPr>
        <w:pStyle w:val="HTML"/>
        <w:tabs>
          <w:tab w:val="clear" w:pos="916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6BD">
        <w:rPr>
          <w:rFonts w:ascii="Times New Roman" w:hAnsi="Times New Roman" w:cs="Times New Roman"/>
          <w:sz w:val="24"/>
          <w:szCs w:val="24"/>
        </w:rPr>
        <w:lastRenderedPageBreak/>
        <w:t xml:space="preserve">Команда </w:t>
      </w:r>
      <w:proofErr w:type="spellStart"/>
      <w:r w:rsidRPr="001636BD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1636B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36BD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16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6BD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16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6BD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16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6BD">
        <w:rPr>
          <w:rFonts w:ascii="Times New Roman" w:hAnsi="Times New Roman" w:cs="Times New Roman"/>
          <w:sz w:val="24"/>
          <w:szCs w:val="24"/>
        </w:rPr>
        <w:t>готові</w:t>
      </w:r>
      <w:proofErr w:type="spellEnd"/>
      <w:r w:rsidRPr="0016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6BD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636BD">
        <w:rPr>
          <w:rFonts w:ascii="Times New Roman" w:hAnsi="Times New Roman" w:cs="Times New Roman"/>
          <w:sz w:val="24"/>
          <w:szCs w:val="24"/>
        </w:rPr>
        <w:t xml:space="preserve"> будь-яку </w:t>
      </w:r>
      <w:proofErr w:type="spellStart"/>
      <w:r w:rsidRPr="001636BD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1636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36BD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16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6BD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16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6BD">
        <w:rPr>
          <w:rFonts w:ascii="Times New Roman" w:hAnsi="Times New Roman" w:cs="Times New Roman"/>
          <w:sz w:val="24"/>
          <w:szCs w:val="24"/>
        </w:rPr>
        <w:t>аспектів</w:t>
      </w:r>
      <w:proofErr w:type="spellEnd"/>
      <w:r w:rsidRPr="001636BD">
        <w:rPr>
          <w:rFonts w:ascii="Times New Roman" w:hAnsi="Times New Roman" w:cs="Times New Roman"/>
          <w:sz w:val="24"/>
          <w:szCs w:val="24"/>
        </w:rPr>
        <w:t xml:space="preserve"> курсу по </w:t>
      </w:r>
      <w:proofErr w:type="spellStart"/>
      <w:r w:rsidRPr="001636BD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16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6BD">
        <w:rPr>
          <w:rFonts w:ascii="Times New Roman" w:hAnsi="Times New Roman" w:cs="Times New Roman"/>
          <w:sz w:val="24"/>
          <w:szCs w:val="24"/>
        </w:rPr>
        <w:t>пошті</w:t>
      </w:r>
      <w:proofErr w:type="spellEnd"/>
      <w:r w:rsidRPr="001636B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36B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636BD">
        <w:rPr>
          <w:rFonts w:ascii="Times New Roman" w:hAnsi="Times New Roman" w:cs="Times New Roman"/>
          <w:sz w:val="24"/>
          <w:szCs w:val="24"/>
        </w:rPr>
        <w:t xml:space="preserve"> - у </w:t>
      </w:r>
      <w:proofErr w:type="spellStart"/>
      <w:r w:rsidRPr="001636BD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1636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715C" w:rsidRDefault="0036715C" w:rsidP="0036715C">
      <w:pPr>
        <w:ind w:firstLine="709"/>
        <w:jc w:val="both"/>
      </w:pPr>
    </w:p>
    <w:p w:rsidR="0036715C" w:rsidRPr="0066404D" w:rsidRDefault="0036715C" w:rsidP="003671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Arial" w:hAnsi="Arial" w:cs="Courier New"/>
          <w:b/>
          <w:color w:val="345A8A"/>
          <w:sz w:val="32"/>
          <w:szCs w:val="20"/>
          <w:lang w:val="uk-UA"/>
        </w:rPr>
      </w:pPr>
      <w:r w:rsidRPr="0066404D">
        <w:rPr>
          <w:rFonts w:ascii="Arial" w:eastAsia="Arial" w:hAnsi="Arial" w:cs="Courier New"/>
          <w:b/>
          <w:color w:val="345A8A"/>
          <w:sz w:val="32"/>
          <w:szCs w:val="20"/>
          <w:lang w:val="uk-UA"/>
        </w:rPr>
        <w:t>Огляд курсу</w:t>
      </w:r>
    </w:p>
    <w:p w:rsidR="0036715C" w:rsidRDefault="0036715C" w:rsidP="0036715C">
      <w:pPr>
        <w:ind w:firstLine="709"/>
        <w:jc w:val="both"/>
      </w:pPr>
    </w:p>
    <w:p w:rsidR="001636BD" w:rsidRPr="008E652F" w:rsidRDefault="001636BD" w:rsidP="001636BD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Дисципліна </w:t>
      </w:r>
      <w:r w:rsidRPr="001636BD">
        <w:t>«</w:t>
      </w:r>
      <w:proofErr w:type="spellStart"/>
      <w:r w:rsidRPr="001636BD">
        <w:t>Ризик-орієнтовані</w:t>
      </w:r>
      <w:proofErr w:type="spellEnd"/>
      <w:r w:rsidRPr="001636BD">
        <w:t xml:space="preserve"> </w:t>
      </w:r>
      <w:proofErr w:type="spellStart"/>
      <w:r w:rsidRPr="001636BD">
        <w:t>технології</w:t>
      </w:r>
      <w:proofErr w:type="spellEnd"/>
      <w:r w:rsidRPr="001636BD">
        <w:t xml:space="preserve"> </w:t>
      </w:r>
      <w:proofErr w:type="spellStart"/>
      <w:r w:rsidRPr="001636BD">
        <w:t>перевезень</w:t>
      </w:r>
      <w:proofErr w:type="spellEnd"/>
      <w:r>
        <w:t xml:space="preserve">» </w:t>
      </w:r>
      <w:r>
        <w:rPr>
          <w:szCs w:val="28"/>
          <w:lang w:val="uk-UA"/>
        </w:rPr>
        <w:t>вивчається на четвертому курсі першого семестру (</w:t>
      </w:r>
      <w:r w:rsidRPr="008E652F">
        <w:rPr>
          <w:lang w:val="uk-UA"/>
        </w:rPr>
        <w:t xml:space="preserve">з </w:t>
      </w:r>
      <w:r>
        <w:rPr>
          <w:lang w:val="uk-UA"/>
        </w:rPr>
        <w:t>вересня</w:t>
      </w:r>
      <w:r w:rsidRPr="008E652F">
        <w:rPr>
          <w:lang w:val="uk-UA"/>
        </w:rPr>
        <w:t xml:space="preserve"> по </w:t>
      </w:r>
      <w:r>
        <w:rPr>
          <w:lang w:val="uk-UA"/>
        </w:rPr>
        <w:t>січень)</w:t>
      </w:r>
      <w:r>
        <w:rPr>
          <w:szCs w:val="28"/>
          <w:lang w:val="uk-UA"/>
        </w:rPr>
        <w:t xml:space="preserve"> рівня вищої освіти (бакалавр).</w:t>
      </w:r>
    </w:p>
    <w:p w:rsidR="001636BD" w:rsidRDefault="001636BD" w:rsidP="001636BD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  <w:r w:rsidRPr="008E652F">
        <w:rPr>
          <w:lang w:val="uk-UA"/>
        </w:rPr>
        <w:t xml:space="preserve">Курс </w:t>
      </w:r>
      <w:r>
        <w:rPr>
          <w:lang w:val="uk-UA"/>
        </w:rPr>
        <w:t xml:space="preserve">складається </w:t>
      </w:r>
      <w:r w:rsidRPr="008E652F">
        <w:rPr>
          <w:lang w:val="uk-UA"/>
        </w:rPr>
        <w:t xml:space="preserve">з однієї лекції </w:t>
      </w:r>
      <w:r w:rsidR="00492950">
        <w:rPr>
          <w:lang w:val="uk-UA"/>
        </w:rPr>
        <w:t>раз у тиждень</w:t>
      </w:r>
      <w:r>
        <w:rPr>
          <w:lang w:val="uk-UA"/>
        </w:rPr>
        <w:t xml:space="preserve"> та </w:t>
      </w:r>
      <w:r w:rsidRPr="008E652F">
        <w:rPr>
          <w:lang w:val="uk-UA"/>
        </w:rPr>
        <w:t>одног</w:t>
      </w:r>
      <w:r>
        <w:rPr>
          <w:lang w:val="uk-UA"/>
        </w:rPr>
        <w:t>о практичного заняття</w:t>
      </w:r>
      <w:r w:rsidR="00492950">
        <w:rPr>
          <w:lang w:val="uk-UA"/>
        </w:rPr>
        <w:t xml:space="preserve"> раз у два тижні</w:t>
      </w:r>
      <w:r w:rsidRPr="008E652F">
        <w:rPr>
          <w:lang w:val="uk-UA"/>
        </w:rPr>
        <w:t>. Він супроводжується текстовим матеріалом, презентаціями</w:t>
      </w:r>
      <w:r>
        <w:rPr>
          <w:lang w:val="uk-UA"/>
        </w:rPr>
        <w:t>, індивідуальними</w:t>
      </w:r>
      <w:r w:rsidRPr="008E652F">
        <w:rPr>
          <w:lang w:val="uk-UA"/>
        </w:rPr>
        <w:t xml:space="preserve"> та груповими завданнями. Студенти матимуть можливість застосовувати отримані знання та вирішувати практичні завдання протягом обговорень в аудиторії та </w:t>
      </w:r>
      <w:r>
        <w:rPr>
          <w:lang w:val="uk-UA"/>
        </w:rPr>
        <w:t xml:space="preserve">виконанні </w:t>
      </w:r>
      <w:r w:rsidRPr="00103B97">
        <w:rPr>
          <w:szCs w:val="28"/>
          <w:lang w:val="uk-UA"/>
        </w:rPr>
        <w:t>індивідуальни</w:t>
      </w:r>
      <w:r>
        <w:rPr>
          <w:szCs w:val="28"/>
          <w:lang w:val="uk-UA"/>
        </w:rPr>
        <w:t>х</w:t>
      </w:r>
      <w:r>
        <w:rPr>
          <w:lang w:val="uk-UA"/>
        </w:rPr>
        <w:t xml:space="preserve"> практичних завдань</w:t>
      </w:r>
      <w:r w:rsidRPr="00103B97">
        <w:rPr>
          <w:szCs w:val="28"/>
          <w:lang w:val="uk-UA"/>
        </w:rPr>
        <w:t>, що охоплю</w:t>
      </w:r>
      <w:r>
        <w:rPr>
          <w:szCs w:val="28"/>
          <w:lang w:val="uk-UA"/>
        </w:rPr>
        <w:t>ють</w:t>
      </w:r>
      <w:r w:rsidRPr="00103B97">
        <w:rPr>
          <w:szCs w:val="28"/>
          <w:lang w:val="uk-UA"/>
        </w:rPr>
        <w:t xml:space="preserve"> декілька найбільш важливих тем.</w:t>
      </w:r>
      <w:r>
        <w:rPr>
          <w:szCs w:val="28"/>
          <w:lang w:val="uk-UA"/>
        </w:rPr>
        <w:t xml:space="preserve"> </w:t>
      </w:r>
      <w:r>
        <w:rPr>
          <w:lang w:val="uk-UA"/>
        </w:rPr>
        <w:t>Виконання завдань супроводжую</w:t>
      </w:r>
      <w:r w:rsidRPr="00741E85">
        <w:rPr>
          <w:lang w:val="uk-UA"/>
        </w:rPr>
        <w:t>ться зануренням у суміжні</w:t>
      </w:r>
      <w:r>
        <w:rPr>
          <w:lang w:val="uk-UA"/>
        </w:rPr>
        <w:t xml:space="preserve"> дисципліни, що доповнюють теми.</w:t>
      </w:r>
    </w:p>
    <w:p w:rsidR="00492950" w:rsidRDefault="00492950" w:rsidP="00492950">
      <w:pPr>
        <w:spacing w:line="391" w:lineRule="exact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492950" w:rsidRPr="00C87994" w:rsidRDefault="00492950" w:rsidP="00492950">
      <w:pPr>
        <w:spacing w:line="391" w:lineRule="exact"/>
        <w:jc w:val="center"/>
        <w:rPr>
          <w:rFonts w:ascii="Arial" w:hAnsi="Arial" w:cs="Arial"/>
          <w:b/>
          <w:sz w:val="22"/>
          <w:szCs w:val="22"/>
          <w:lang w:val="uk-UA"/>
        </w:rPr>
      </w:pPr>
      <w:proofErr w:type="spellStart"/>
      <w:r w:rsidRPr="00492950">
        <w:rPr>
          <w:rFonts w:ascii="Arial" w:hAnsi="Arial" w:cs="Arial"/>
          <w:b/>
          <w:sz w:val="22"/>
          <w:szCs w:val="22"/>
        </w:rPr>
        <w:t>Ризик-орієнтовані</w:t>
      </w:r>
      <w:proofErr w:type="spellEnd"/>
      <w:r w:rsidRPr="004929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92950">
        <w:rPr>
          <w:rFonts w:ascii="Arial" w:hAnsi="Arial" w:cs="Arial"/>
          <w:b/>
          <w:sz w:val="22"/>
          <w:szCs w:val="22"/>
        </w:rPr>
        <w:t>технології</w:t>
      </w:r>
      <w:proofErr w:type="spellEnd"/>
      <w:r w:rsidRPr="004929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92950">
        <w:rPr>
          <w:rFonts w:ascii="Arial" w:hAnsi="Arial" w:cs="Arial"/>
          <w:b/>
          <w:sz w:val="22"/>
          <w:szCs w:val="22"/>
        </w:rPr>
        <w:t>перевезень</w:t>
      </w:r>
      <w:proofErr w:type="spellEnd"/>
      <w:r w:rsidRPr="00C87994">
        <w:rPr>
          <w:rFonts w:ascii="Arial" w:hAnsi="Arial" w:cs="Arial"/>
          <w:b/>
          <w:sz w:val="22"/>
          <w:szCs w:val="22"/>
        </w:rPr>
        <w:t xml:space="preserve"> / </w:t>
      </w:r>
      <w:r w:rsidRPr="00C87994">
        <w:rPr>
          <w:rFonts w:ascii="Arial" w:hAnsi="Arial" w:cs="Arial"/>
          <w:b/>
          <w:sz w:val="22"/>
          <w:szCs w:val="22"/>
          <w:lang w:val="uk-UA"/>
        </w:rPr>
        <w:t>схема курсу</w:t>
      </w:r>
    </w:p>
    <w:tbl>
      <w:tblPr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3517"/>
        <w:gridCol w:w="1276"/>
        <w:gridCol w:w="1276"/>
      </w:tblGrid>
      <w:tr w:rsidR="00492950" w:rsidRPr="00C87994" w:rsidTr="00286307">
        <w:tc>
          <w:tcPr>
            <w:tcW w:w="1406" w:type="dxa"/>
            <w:vMerge w:val="restart"/>
            <w:shd w:val="clear" w:color="auto" w:fill="D9D9D9"/>
            <w:vAlign w:val="center"/>
          </w:tcPr>
          <w:p w:rsidR="00492950" w:rsidRPr="00C87994" w:rsidRDefault="00492950" w:rsidP="00B35262">
            <w:pPr>
              <w:spacing w:line="391" w:lineRule="exact"/>
              <w:ind w:right="130"/>
              <w:jc w:val="right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87994">
              <w:rPr>
                <w:rFonts w:ascii="Arial" w:hAnsi="Arial" w:cs="Arial"/>
                <w:b/>
                <w:sz w:val="22"/>
                <w:szCs w:val="22"/>
                <w:lang w:val="uk-UA"/>
              </w:rPr>
              <w:t>Поміркуй</w:t>
            </w:r>
          </w:p>
        </w:tc>
        <w:tc>
          <w:tcPr>
            <w:tcW w:w="3517" w:type="dxa"/>
          </w:tcPr>
          <w:p w:rsidR="00492950" w:rsidRPr="00761C36" w:rsidRDefault="00492950" w:rsidP="00B35262">
            <w:pPr>
              <w:spacing w:line="391" w:lineRule="exact"/>
              <w:jc w:val="center"/>
              <w:rPr>
                <w:lang w:val="uk-UA"/>
              </w:rPr>
            </w:pPr>
            <w:r w:rsidRPr="00761C36">
              <w:rPr>
                <w:lang w:val="uk-UA"/>
              </w:rPr>
              <w:t>Лекції</w:t>
            </w:r>
          </w:p>
        </w:tc>
        <w:tc>
          <w:tcPr>
            <w:tcW w:w="1276" w:type="dxa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492950" w:rsidRPr="00C87994" w:rsidTr="00286307">
        <w:tc>
          <w:tcPr>
            <w:tcW w:w="1406" w:type="dxa"/>
            <w:vMerge/>
            <w:shd w:val="clear" w:color="auto" w:fill="D9D9D9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3517" w:type="dxa"/>
          </w:tcPr>
          <w:p w:rsidR="00492950" w:rsidRPr="00761C36" w:rsidRDefault="00492950" w:rsidP="00B35262">
            <w:pPr>
              <w:spacing w:line="391" w:lineRule="exact"/>
              <w:jc w:val="center"/>
              <w:rPr>
                <w:lang w:val="uk-UA"/>
              </w:rPr>
            </w:pPr>
            <w:r w:rsidRPr="00761C36">
              <w:rPr>
                <w:lang w:val="uk-UA"/>
              </w:rPr>
              <w:t>Практичні заняття</w:t>
            </w:r>
          </w:p>
        </w:tc>
        <w:tc>
          <w:tcPr>
            <w:tcW w:w="1276" w:type="dxa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492950" w:rsidRPr="00C87994" w:rsidTr="00286307">
        <w:tc>
          <w:tcPr>
            <w:tcW w:w="1406" w:type="dxa"/>
            <w:vMerge/>
            <w:shd w:val="clear" w:color="auto" w:fill="D9D9D9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3517" w:type="dxa"/>
          </w:tcPr>
          <w:p w:rsidR="00492950" w:rsidRPr="00761C36" w:rsidRDefault="00492950" w:rsidP="00B35262">
            <w:pPr>
              <w:spacing w:line="391" w:lineRule="exact"/>
              <w:jc w:val="center"/>
              <w:rPr>
                <w:lang w:val="uk-UA"/>
              </w:rPr>
            </w:pPr>
            <w:r w:rsidRPr="00761C36">
              <w:rPr>
                <w:lang w:val="uk-UA"/>
              </w:rPr>
              <w:t>Презентації</w:t>
            </w:r>
          </w:p>
        </w:tc>
        <w:tc>
          <w:tcPr>
            <w:tcW w:w="1276" w:type="dxa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492950" w:rsidRPr="00C87994" w:rsidTr="00286307">
        <w:tc>
          <w:tcPr>
            <w:tcW w:w="1406" w:type="dxa"/>
            <w:vMerge/>
            <w:shd w:val="clear" w:color="auto" w:fill="D9D9D9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3517" w:type="dxa"/>
          </w:tcPr>
          <w:p w:rsidR="00492950" w:rsidRPr="00420AF9" w:rsidRDefault="00492950" w:rsidP="00B35262">
            <w:pPr>
              <w:pStyle w:val="Default"/>
              <w:jc w:val="center"/>
            </w:pPr>
            <w:proofErr w:type="spellStart"/>
            <w:r w:rsidRPr="00420AF9">
              <w:t>Обговорення</w:t>
            </w:r>
            <w:proofErr w:type="spellEnd"/>
            <w:r w:rsidRPr="00420AF9">
              <w:t xml:space="preserve"> в </w:t>
            </w:r>
            <w:proofErr w:type="spellStart"/>
            <w:r w:rsidRPr="00420AF9">
              <w:t>аудиторії</w:t>
            </w:r>
            <w:proofErr w:type="spellEnd"/>
          </w:p>
        </w:tc>
        <w:tc>
          <w:tcPr>
            <w:tcW w:w="1276" w:type="dxa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492950" w:rsidRPr="00C87994" w:rsidTr="00286307">
        <w:tc>
          <w:tcPr>
            <w:tcW w:w="1406" w:type="dxa"/>
            <w:vMerge/>
            <w:shd w:val="clear" w:color="auto" w:fill="D9D9D9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3517" w:type="dxa"/>
          </w:tcPr>
          <w:p w:rsidR="00492950" w:rsidRPr="00492950" w:rsidRDefault="00492950" w:rsidP="00B35262">
            <w:pPr>
              <w:pStyle w:val="Default"/>
              <w:jc w:val="center"/>
            </w:pPr>
            <w:proofErr w:type="spellStart"/>
            <w:r w:rsidRPr="00492950">
              <w:t>Активність</w:t>
            </w:r>
            <w:proofErr w:type="spellEnd"/>
            <w:r w:rsidRPr="00492950">
              <w:t xml:space="preserve"> на </w:t>
            </w:r>
            <w:proofErr w:type="spellStart"/>
            <w:r w:rsidRPr="00492950">
              <w:t>заняттях</w:t>
            </w:r>
            <w:proofErr w:type="spellEnd"/>
            <w:r w:rsidRPr="00492950">
              <w:t xml:space="preserve">, у </w:t>
            </w:r>
            <w:proofErr w:type="spellStart"/>
            <w:r w:rsidRPr="00492950">
              <w:t>т.ч</w:t>
            </w:r>
            <w:proofErr w:type="spellEnd"/>
            <w:r w:rsidRPr="00492950">
              <w:t xml:space="preserve">. на </w:t>
            </w:r>
            <w:proofErr w:type="spellStart"/>
            <w:r w:rsidRPr="00492950">
              <w:t>курсі</w:t>
            </w:r>
            <w:proofErr w:type="spellEnd"/>
            <w:r w:rsidRPr="00492950">
              <w:t xml:space="preserve"> </w:t>
            </w:r>
            <w:proofErr w:type="spellStart"/>
            <w:r w:rsidRPr="00492950">
              <w:t>дистанційного</w:t>
            </w:r>
            <w:proofErr w:type="spellEnd"/>
            <w:r w:rsidRPr="00492950">
              <w:t xml:space="preserve"> </w:t>
            </w:r>
            <w:proofErr w:type="spellStart"/>
            <w:r w:rsidRPr="00492950">
              <w:t>навчання</w:t>
            </w:r>
            <w:proofErr w:type="spellEnd"/>
            <w:r w:rsidRPr="00492950">
              <w:t xml:space="preserve"> </w:t>
            </w:r>
            <w:proofErr w:type="spellStart"/>
            <w:r w:rsidRPr="00492950">
              <w:rPr>
                <w:lang w:val="en-US"/>
              </w:rPr>
              <w:t>moodle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492950" w:rsidRPr="00C87994" w:rsidRDefault="00492950" w:rsidP="00B35262">
            <w:pPr>
              <w:spacing w:line="391" w:lineRule="exact"/>
              <w:ind w:left="126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492950" w:rsidRPr="00C87994" w:rsidRDefault="00492950" w:rsidP="00B35262">
            <w:pPr>
              <w:spacing w:line="391" w:lineRule="exact"/>
              <w:ind w:left="126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87994">
              <w:rPr>
                <w:rFonts w:ascii="Arial" w:hAnsi="Arial" w:cs="Arial"/>
                <w:b/>
                <w:sz w:val="22"/>
                <w:szCs w:val="22"/>
                <w:lang w:val="uk-UA"/>
              </w:rPr>
              <w:t>Виконай</w:t>
            </w:r>
          </w:p>
        </w:tc>
      </w:tr>
      <w:tr w:rsidR="00492950" w:rsidRPr="00C87994" w:rsidTr="00286307">
        <w:tc>
          <w:tcPr>
            <w:tcW w:w="1406" w:type="dxa"/>
            <w:vMerge/>
            <w:shd w:val="clear" w:color="auto" w:fill="D9D9D9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3517" w:type="dxa"/>
          </w:tcPr>
          <w:p w:rsidR="00492950" w:rsidRPr="00761C36" w:rsidRDefault="00492950" w:rsidP="00B35262">
            <w:pPr>
              <w:spacing w:line="391" w:lineRule="exact"/>
              <w:jc w:val="center"/>
              <w:rPr>
                <w:lang w:val="uk-UA"/>
              </w:rPr>
            </w:pPr>
            <w:r w:rsidRPr="00761C36">
              <w:rPr>
                <w:lang w:val="uk-UA"/>
              </w:rPr>
              <w:t>Індивідуальні консультації</w:t>
            </w:r>
          </w:p>
        </w:tc>
        <w:tc>
          <w:tcPr>
            <w:tcW w:w="1276" w:type="dxa"/>
            <w:shd w:val="clear" w:color="auto" w:fill="D9D9D9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492950" w:rsidRPr="00C87994" w:rsidTr="00286307">
        <w:tc>
          <w:tcPr>
            <w:tcW w:w="1406" w:type="dxa"/>
            <w:vMerge/>
            <w:shd w:val="clear" w:color="auto" w:fill="D9D9D9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3517" w:type="dxa"/>
          </w:tcPr>
          <w:p w:rsidR="00492950" w:rsidRPr="00761C36" w:rsidRDefault="00492950" w:rsidP="00B35262">
            <w:pPr>
              <w:jc w:val="center"/>
              <w:rPr>
                <w:lang w:val="uk-UA"/>
              </w:rPr>
            </w:pPr>
            <w:r w:rsidRPr="00761C36">
              <w:rPr>
                <w:lang w:val="uk-UA"/>
              </w:rPr>
              <w:t>Засвоєння розділів дисципліни, визначених для самостійного вивчення</w:t>
            </w:r>
          </w:p>
        </w:tc>
        <w:tc>
          <w:tcPr>
            <w:tcW w:w="1276" w:type="dxa"/>
            <w:shd w:val="clear" w:color="auto" w:fill="D9D9D9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492950" w:rsidRPr="00C87994" w:rsidTr="00286307">
        <w:trPr>
          <w:trHeight w:val="332"/>
        </w:trPr>
        <w:tc>
          <w:tcPr>
            <w:tcW w:w="1406" w:type="dxa"/>
            <w:vMerge/>
            <w:shd w:val="clear" w:color="auto" w:fill="D9D9D9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3517" w:type="dxa"/>
          </w:tcPr>
          <w:p w:rsidR="00492950" w:rsidRPr="00761C36" w:rsidRDefault="00492950" w:rsidP="00B35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276" w:type="dxa"/>
            <w:shd w:val="clear" w:color="auto" w:fill="D9D9D9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492950" w:rsidRPr="00C87994" w:rsidRDefault="00492950" w:rsidP="00B35262">
            <w:pPr>
              <w:spacing w:line="391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</w:tbl>
    <w:p w:rsidR="001636BD" w:rsidRDefault="001636BD" w:rsidP="0036715C">
      <w:pPr>
        <w:ind w:firstLine="709"/>
        <w:jc w:val="both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36715C" w:rsidRDefault="0036715C" w:rsidP="0036715C">
      <w:pPr>
        <w:ind w:firstLine="709"/>
        <w:jc w:val="both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  <w:r w:rsidRPr="00C87994">
        <w:rPr>
          <w:rFonts w:ascii="Arial" w:eastAsia="Arial" w:hAnsi="Arial" w:cs="Arial"/>
          <w:b/>
          <w:color w:val="345A8A"/>
          <w:sz w:val="32"/>
          <w:szCs w:val="20"/>
          <w:lang w:val="uk-UA"/>
        </w:rPr>
        <w:t>Ресурси курсу</w:t>
      </w:r>
    </w:p>
    <w:p w:rsidR="00492950" w:rsidRDefault="00492950" w:rsidP="0036715C">
      <w:pPr>
        <w:ind w:firstLine="709"/>
        <w:jc w:val="both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EC7C21" w:rsidRPr="00716F33" w:rsidRDefault="00EC7C21" w:rsidP="00EC7C21">
      <w:pPr>
        <w:spacing w:line="307" w:lineRule="auto"/>
        <w:ind w:right="60" w:firstLine="720"/>
        <w:jc w:val="both"/>
        <w:rPr>
          <w:rFonts w:eastAsia="Arial"/>
          <w:lang w:val="uk-UA"/>
        </w:rPr>
      </w:pPr>
      <w:r w:rsidRPr="00716F33">
        <w:rPr>
          <w:rFonts w:eastAsia="Arial"/>
          <w:lang w:val="uk-UA"/>
        </w:rPr>
        <w:t>Інформація про курс розміщена на сайті Університету (</w:t>
      </w:r>
      <w:hyperlink r:id="rId14" w:history="1">
        <w:r w:rsidRPr="00716F33">
          <w:rPr>
            <w:color w:val="0000FF"/>
            <w:u w:val="single"/>
          </w:rPr>
          <w:t>http</w:t>
        </w:r>
        <w:r w:rsidRPr="00716F33">
          <w:rPr>
            <w:color w:val="0000FF"/>
            <w:u w:val="single"/>
            <w:lang w:val="uk-UA"/>
          </w:rPr>
          <w:t>://</w:t>
        </w:r>
        <w:r w:rsidRPr="00716F33">
          <w:rPr>
            <w:color w:val="0000FF"/>
            <w:u w:val="single"/>
          </w:rPr>
          <w:t>kart</w:t>
        </w:r>
        <w:r w:rsidRPr="00716F33">
          <w:rPr>
            <w:color w:val="0000FF"/>
            <w:u w:val="single"/>
            <w:lang w:val="uk-UA"/>
          </w:rPr>
          <w:t>.</w:t>
        </w:r>
        <w:r w:rsidRPr="00716F33">
          <w:rPr>
            <w:color w:val="0000FF"/>
            <w:u w:val="single"/>
          </w:rPr>
          <w:t>edu</w:t>
        </w:r>
        <w:r w:rsidRPr="00716F33">
          <w:rPr>
            <w:color w:val="0000FF"/>
            <w:u w:val="single"/>
            <w:lang w:val="uk-UA"/>
          </w:rPr>
          <w:t>.</w:t>
        </w:r>
        <w:r w:rsidRPr="00716F33">
          <w:rPr>
            <w:color w:val="0000FF"/>
            <w:u w:val="single"/>
          </w:rPr>
          <w:t>ua</w:t>
        </w:r>
        <w:r w:rsidRPr="00716F33">
          <w:rPr>
            <w:color w:val="0000FF"/>
            <w:u w:val="single"/>
            <w:lang w:val="uk-UA"/>
          </w:rPr>
          <w:t>/</w:t>
        </w:r>
        <w:r w:rsidRPr="00716F33">
          <w:rPr>
            <w:color w:val="0000FF"/>
            <w:u w:val="single"/>
          </w:rPr>
          <w:t>mat</w:t>
        </w:r>
        <w:r w:rsidRPr="00716F33">
          <w:rPr>
            <w:color w:val="0000FF"/>
            <w:u w:val="single"/>
            <w:lang w:val="uk-UA"/>
          </w:rPr>
          <w:t>-</w:t>
        </w:r>
        <w:r w:rsidRPr="00716F33">
          <w:rPr>
            <w:color w:val="0000FF"/>
            <w:u w:val="single"/>
          </w:rPr>
          <w:t>po</w:t>
        </w:r>
        <w:r w:rsidRPr="00716F33">
          <w:rPr>
            <w:color w:val="0000FF"/>
            <w:u w:val="single"/>
            <w:lang w:val="uk-UA"/>
          </w:rPr>
          <w:t>-</w:t>
        </w:r>
        <w:r w:rsidRPr="00716F33">
          <w:rPr>
            <w:color w:val="0000FF"/>
            <w:u w:val="single"/>
          </w:rPr>
          <w:t>fak</w:t>
        </w:r>
        <w:r w:rsidRPr="00716F33">
          <w:rPr>
            <w:color w:val="0000FF"/>
            <w:u w:val="single"/>
            <w:lang w:val="uk-UA"/>
          </w:rPr>
          <w:t>-</w:t>
        </w:r>
        <w:r w:rsidRPr="00716F33">
          <w:rPr>
            <w:color w:val="0000FF"/>
            <w:u w:val="single"/>
          </w:rPr>
          <w:t>ua</w:t>
        </w:r>
        <w:r w:rsidRPr="00716F33">
          <w:rPr>
            <w:color w:val="0000FF"/>
            <w:u w:val="single"/>
            <w:lang w:val="uk-UA"/>
          </w:rPr>
          <w:t>/</w:t>
        </w:r>
        <w:r w:rsidRPr="00716F33">
          <w:rPr>
            <w:color w:val="0000FF"/>
            <w:u w:val="single"/>
          </w:rPr>
          <w:t>mat</w:t>
        </w:r>
        <w:r w:rsidRPr="00716F33">
          <w:rPr>
            <w:color w:val="0000FF"/>
            <w:u w:val="single"/>
            <w:lang w:val="uk-UA"/>
          </w:rPr>
          <w:t>-</w:t>
        </w:r>
        <w:r w:rsidRPr="00716F33">
          <w:rPr>
            <w:color w:val="0000FF"/>
            <w:u w:val="single"/>
          </w:rPr>
          <w:t>fac</w:t>
        </w:r>
        <w:r w:rsidRPr="00716F33">
          <w:rPr>
            <w:color w:val="0000FF"/>
            <w:u w:val="single"/>
            <w:lang w:val="uk-UA"/>
          </w:rPr>
          <w:t>-</w:t>
        </w:r>
        <w:r w:rsidRPr="00716F33">
          <w:rPr>
            <w:color w:val="0000FF"/>
            <w:u w:val="single"/>
          </w:rPr>
          <w:t>upp</w:t>
        </w:r>
        <w:r w:rsidRPr="00716F33">
          <w:rPr>
            <w:color w:val="0000FF"/>
            <w:u w:val="single"/>
            <w:lang w:val="uk-UA"/>
          </w:rPr>
          <w:t>-</w:t>
        </w:r>
        <w:proofErr w:type="spellStart"/>
        <w:r w:rsidRPr="00716F33">
          <w:rPr>
            <w:color w:val="0000FF"/>
            <w:u w:val="single"/>
          </w:rPr>
          <w:t>ua</w:t>
        </w:r>
        <w:proofErr w:type="spellEnd"/>
      </w:hyperlink>
      <w:r w:rsidRPr="00716F33">
        <w:rPr>
          <w:rFonts w:eastAsia="Calibri"/>
          <w:lang w:val="uk-UA"/>
        </w:rPr>
        <w:t xml:space="preserve">), включаючи, лекційні матеріали, </w:t>
      </w:r>
      <w:r>
        <w:rPr>
          <w:rFonts w:eastAsia="Calibri"/>
          <w:lang w:val="uk-UA"/>
        </w:rPr>
        <w:t xml:space="preserve">запитання до </w:t>
      </w:r>
      <w:r>
        <w:rPr>
          <w:lang w:val="uk-UA"/>
        </w:rPr>
        <w:t>іспит</w:t>
      </w:r>
      <w:r>
        <w:rPr>
          <w:rFonts w:eastAsia="Calibri"/>
          <w:lang w:val="uk-UA"/>
        </w:rPr>
        <w:t xml:space="preserve">у, перелік методичних розробок для виконання різних завдань </w:t>
      </w:r>
      <w:r w:rsidRPr="00716F33">
        <w:rPr>
          <w:rFonts w:eastAsia="Calibri"/>
          <w:lang w:val="uk-UA"/>
        </w:rPr>
        <w:t>та правила оцінювання курсу</w:t>
      </w:r>
      <w:r>
        <w:rPr>
          <w:rFonts w:eastAsia="Calibri"/>
          <w:lang w:val="uk-UA"/>
        </w:rPr>
        <w:t>.</w:t>
      </w:r>
    </w:p>
    <w:p w:rsidR="00EC7C21" w:rsidRPr="00716F33" w:rsidRDefault="00EC7C21" w:rsidP="00EC7C21">
      <w:pPr>
        <w:spacing w:line="1" w:lineRule="exact"/>
        <w:rPr>
          <w:lang w:val="uk-UA"/>
        </w:rPr>
      </w:pPr>
    </w:p>
    <w:p w:rsidR="00EC7C21" w:rsidRPr="00716F33" w:rsidRDefault="00EC7C21" w:rsidP="00EC7C21">
      <w:pPr>
        <w:spacing w:line="264" w:lineRule="auto"/>
        <w:ind w:right="200" w:firstLine="359"/>
        <w:jc w:val="both"/>
        <w:rPr>
          <w:rFonts w:eastAsia="Arial"/>
          <w:lang w:val="uk-UA"/>
        </w:rPr>
      </w:pPr>
      <w:r w:rsidRPr="00716F33">
        <w:rPr>
          <w:rFonts w:eastAsia="Arial"/>
          <w:lang w:val="uk-UA"/>
        </w:rPr>
        <w:tab/>
        <w:t xml:space="preserve">Додатковий матеріал та </w:t>
      </w:r>
      <w:r w:rsidRPr="00EE7737">
        <w:rPr>
          <w:rFonts w:eastAsia="Arial"/>
          <w:lang w:val="uk-UA"/>
        </w:rPr>
        <w:t>посилання на електронні ресурси доступні на сайті Університету у розділі «дистанційне навчання»</w:t>
      </w:r>
      <w:r>
        <w:rPr>
          <w:rFonts w:eastAsia="Arial"/>
          <w:lang w:val="uk-UA"/>
        </w:rPr>
        <w:t>.</w:t>
      </w:r>
      <w:r w:rsidRPr="00EE7737">
        <w:rPr>
          <w:rFonts w:eastAsia="Arial"/>
          <w:lang w:val="uk-UA"/>
        </w:rPr>
        <w:t xml:space="preserve"> </w:t>
      </w:r>
      <w:r>
        <w:rPr>
          <w:rFonts w:eastAsia="Arial"/>
          <w:lang w:val="uk-UA"/>
        </w:rPr>
        <w:t>З</w:t>
      </w:r>
      <w:r w:rsidRPr="00EE7737">
        <w:rPr>
          <w:rFonts w:eastAsia="Arial"/>
          <w:lang w:val="uk-UA"/>
        </w:rPr>
        <w:t xml:space="preserve">апропонуємо вам на заняттях </w:t>
      </w:r>
      <w:r>
        <w:rPr>
          <w:rFonts w:eastAsia="Arial"/>
          <w:lang w:val="uk-UA"/>
        </w:rPr>
        <w:t xml:space="preserve">озвучити </w:t>
      </w:r>
      <w:r w:rsidRPr="00EE7737">
        <w:rPr>
          <w:rFonts w:eastAsia="Arial"/>
          <w:lang w:val="uk-UA"/>
        </w:rPr>
        <w:t xml:space="preserve"> </w:t>
      </w:r>
      <w:r>
        <w:rPr>
          <w:rFonts w:eastAsia="Arial"/>
          <w:lang w:val="uk-UA"/>
        </w:rPr>
        <w:t>свої думки</w:t>
      </w:r>
      <w:r w:rsidRPr="00EE7737">
        <w:rPr>
          <w:rFonts w:eastAsia="Arial"/>
          <w:lang w:val="uk-UA"/>
        </w:rPr>
        <w:t xml:space="preserve"> </w:t>
      </w:r>
      <w:r>
        <w:rPr>
          <w:rFonts w:eastAsia="Arial"/>
          <w:lang w:val="uk-UA"/>
        </w:rPr>
        <w:t>щодо заходів, які</w:t>
      </w:r>
      <w:r w:rsidRPr="00EE7737">
        <w:rPr>
          <w:rFonts w:eastAsia="Arial"/>
          <w:lang w:val="uk-UA"/>
        </w:rPr>
        <w:t xml:space="preserve"> можна вж</w:t>
      </w:r>
      <w:r>
        <w:rPr>
          <w:rFonts w:eastAsia="Arial"/>
          <w:lang w:val="uk-UA"/>
        </w:rPr>
        <w:t>ити для удосконалення ризик-орієнтованих технологій перевезень з урахуванням конкретних умов.</w:t>
      </w:r>
    </w:p>
    <w:p w:rsidR="00EC7C21" w:rsidRPr="008076FB" w:rsidRDefault="00EC7C21" w:rsidP="00EC7C21">
      <w:pPr>
        <w:tabs>
          <w:tab w:val="left" w:pos="284"/>
          <w:tab w:val="left" w:pos="567"/>
        </w:tabs>
        <w:ind w:firstLine="709"/>
        <w:jc w:val="both"/>
        <w:rPr>
          <w:rFonts w:eastAsia="Arial"/>
          <w:highlight w:val="yellow"/>
          <w:lang w:val="uk-UA"/>
        </w:rPr>
      </w:pPr>
    </w:p>
    <w:p w:rsidR="00EC7C21" w:rsidRPr="00522584" w:rsidRDefault="00EC7C21" w:rsidP="00EC7C21">
      <w:pPr>
        <w:tabs>
          <w:tab w:val="left" w:pos="1080"/>
        </w:tabs>
        <w:snapToGrid w:val="0"/>
        <w:ind w:firstLine="709"/>
        <w:jc w:val="both"/>
        <w:rPr>
          <w:b/>
          <w:caps/>
          <w:szCs w:val="28"/>
          <w:lang w:val="uk-UA"/>
        </w:rPr>
      </w:pPr>
      <w:r w:rsidRPr="00522584">
        <w:rPr>
          <w:b/>
          <w:szCs w:val="28"/>
          <w:lang w:val="uk-UA"/>
        </w:rPr>
        <w:t>Інформаційні ресурси в інтернеті</w:t>
      </w:r>
    </w:p>
    <w:p w:rsidR="00EC7C21" w:rsidRDefault="00EC7C21" w:rsidP="00EC7C21">
      <w:pPr>
        <w:ind w:firstLine="720"/>
        <w:rPr>
          <w:caps/>
          <w:szCs w:val="28"/>
          <w:lang w:val="uk-UA"/>
        </w:rPr>
      </w:pPr>
    </w:p>
    <w:p w:rsidR="00EC7C21" w:rsidRPr="00D07A1A" w:rsidRDefault="00602CFA" w:rsidP="00EC7C21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ind w:left="0" w:firstLine="720"/>
        <w:rPr>
          <w:color w:val="222222"/>
          <w:szCs w:val="28"/>
          <w:lang w:val="uk-UA" w:bidi="he-IL"/>
        </w:rPr>
      </w:pPr>
      <w:hyperlink r:id="rId15" w:history="1">
        <w:r w:rsidR="00EC7C21" w:rsidRPr="00D07A1A">
          <w:rPr>
            <w:rStyle w:val="a3"/>
            <w:szCs w:val="28"/>
            <w:lang w:val="uk-UA" w:bidi="he-IL"/>
          </w:rPr>
          <w:t>http://metod.kart.edu.ua/</w:t>
        </w:r>
      </w:hyperlink>
    </w:p>
    <w:p w:rsidR="00EC7C21" w:rsidRPr="00D07A1A" w:rsidRDefault="00602CFA" w:rsidP="00EC7C21">
      <w:pPr>
        <w:numPr>
          <w:ilvl w:val="0"/>
          <w:numId w:val="1"/>
        </w:numPr>
        <w:shd w:val="clear" w:color="auto" w:fill="FFFFFF"/>
        <w:tabs>
          <w:tab w:val="num" w:pos="0"/>
          <w:tab w:val="num" w:pos="720"/>
          <w:tab w:val="left" w:pos="1080"/>
        </w:tabs>
        <w:ind w:left="0" w:firstLine="720"/>
        <w:rPr>
          <w:color w:val="222222"/>
          <w:szCs w:val="28"/>
          <w:lang w:val="uk-UA" w:bidi="he-IL"/>
        </w:rPr>
      </w:pPr>
      <w:hyperlink r:id="rId16" w:history="1">
        <w:r w:rsidR="00EC7C21" w:rsidRPr="00D07A1A">
          <w:rPr>
            <w:rStyle w:val="a3"/>
            <w:szCs w:val="28"/>
            <w:lang w:val="uk-UA" w:bidi="he-IL"/>
          </w:rPr>
          <w:t>http://zakon0.rada.gov.ua/laws/show/457-98-%D0%BF</w:t>
        </w:r>
      </w:hyperlink>
      <w:r w:rsidR="00EC7C21" w:rsidRPr="00D07A1A">
        <w:rPr>
          <w:color w:val="222222"/>
          <w:szCs w:val="28"/>
          <w:lang w:val="uk-UA" w:bidi="he-IL"/>
        </w:rPr>
        <w:t xml:space="preserve"> </w:t>
      </w:r>
    </w:p>
    <w:p w:rsidR="00EC7C21" w:rsidRPr="00D07A1A" w:rsidRDefault="00602CFA" w:rsidP="00EC7C21">
      <w:pPr>
        <w:numPr>
          <w:ilvl w:val="0"/>
          <w:numId w:val="1"/>
        </w:numPr>
        <w:shd w:val="clear" w:color="auto" w:fill="FFFFFF"/>
        <w:tabs>
          <w:tab w:val="num" w:pos="0"/>
          <w:tab w:val="num" w:pos="720"/>
          <w:tab w:val="left" w:pos="1080"/>
        </w:tabs>
        <w:ind w:left="0" w:firstLine="720"/>
        <w:rPr>
          <w:color w:val="222222"/>
          <w:szCs w:val="28"/>
          <w:lang w:val="uk-UA" w:bidi="he-IL"/>
        </w:rPr>
      </w:pPr>
      <w:hyperlink r:id="rId17" w:history="1">
        <w:r w:rsidR="00EC7C21" w:rsidRPr="00D07A1A">
          <w:rPr>
            <w:rStyle w:val="a3"/>
            <w:szCs w:val="28"/>
            <w:lang w:val="uk-UA" w:bidi="he-IL"/>
          </w:rPr>
          <w:t>http://www.uz.gov.ua/cargo_transportation/legal_documents/terms_of_freight</w:t>
        </w:r>
      </w:hyperlink>
    </w:p>
    <w:p w:rsidR="00EC7C21" w:rsidRPr="00D07A1A" w:rsidRDefault="00602CFA" w:rsidP="00EC7C21">
      <w:pPr>
        <w:numPr>
          <w:ilvl w:val="0"/>
          <w:numId w:val="1"/>
        </w:numPr>
        <w:shd w:val="clear" w:color="auto" w:fill="FFFFFF"/>
        <w:tabs>
          <w:tab w:val="num" w:pos="0"/>
          <w:tab w:val="num" w:pos="720"/>
          <w:tab w:val="left" w:pos="1080"/>
        </w:tabs>
        <w:ind w:left="0" w:firstLine="720"/>
        <w:rPr>
          <w:rStyle w:val="a3"/>
          <w:color w:val="auto"/>
          <w:u w:val="none"/>
          <w:lang w:val="uk-UA" w:bidi="he-IL"/>
        </w:rPr>
      </w:pPr>
      <w:hyperlink r:id="rId18" w:history="1">
        <w:r w:rsidR="00EC7C21" w:rsidRPr="00D07A1A">
          <w:rPr>
            <w:rStyle w:val="a3"/>
            <w:lang w:val="uk-UA" w:bidi="he-IL"/>
          </w:rPr>
          <w:t>https://www.uz.gov.ua/cargo_transportation/electronic_transportation/</w:t>
        </w:r>
      </w:hyperlink>
    </w:p>
    <w:p w:rsidR="00EC7C21" w:rsidRPr="00D07A1A" w:rsidRDefault="00602CFA" w:rsidP="00EC7C21">
      <w:pPr>
        <w:numPr>
          <w:ilvl w:val="0"/>
          <w:numId w:val="1"/>
        </w:numPr>
        <w:shd w:val="clear" w:color="auto" w:fill="FFFFFF"/>
        <w:tabs>
          <w:tab w:val="num" w:pos="0"/>
          <w:tab w:val="num" w:pos="720"/>
          <w:tab w:val="left" w:pos="1080"/>
        </w:tabs>
        <w:ind w:left="0" w:firstLine="720"/>
        <w:rPr>
          <w:rStyle w:val="a3"/>
        </w:rPr>
      </w:pPr>
      <w:hyperlink r:id="rId19" w:tgtFrame="_blank" w:history="1">
        <w:r w:rsidR="00EC7C21" w:rsidRPr="00D07A1A">
          <w:rPr>
            <w:rStyle w:val="a3"/>
          </w:rPr>
          <w:t>http://uz-cargo.com/</w:t>
        </w:r>
      </w:hyperlink>
    </w:p>
    <w:p w:rsidR="00EC7C21" w:rsidRPr="00D07A1A" w:rsidRDefault="00602CFA" w:rsidP="00EC7C21">
      <w:pPr>
        <w:numPr>
          <w:ilvl w:val="0"/>
          <w:numId w:val="1"/>
        </w:numPr>
        <w:shd w:val="clear" w:color="auto" w:fill="FFFFFF"/>
        <w:tabs>
          <w:tab w:val="num" w:pos="0"/>
          <w:tab w:val="num" w:pos="720"/>
          <w:tab w:val="left" w:pos="1080"/>
        </w:tabs>
        <w:ind w:left="0" w:firstLine="720"/>
        <w:rPr>
          <w:color w:val="222222"/>
          <w:szCs w:val="28"/>
          <w:lang w:val="uk-UA" w:bidi="he-IL"/>
        </w:rPr>
      </w:pPr>
      <w:hyperlink r:id="rId20" w:history="1">
        <w:r w:rsidR="00EC7C21" w:rsidRPr="00D07A1A">
          <w:rPr>
            <w:rStyle w:val="a3"/>
            <w:lang w:val="uk-UA" w:bidi="he-IL"/>
          </w:rPr>
          <w:t>https://cfts.org.ua</w:t>
        </w:r>
      </w:hyperlink>
    </w:p>
    <w:p w:rsidR="00EC7C21" w:rsidRDefault="00EC7C21" w:rsidP="0036715C">
      <w:pPr>
        <w:ind w:firstLine="709"/>
        <w:jc w:val="both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36715C" w:rsidRDefault="0036715C" w:rsidP="0036715C">
      <w:pPr>
        <w:ind w:firstLine="709"/>
        <w:jc w:val="both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  <w:r w:rsidRPr="00B565D1">
        <w:rPr>
          <w:rFonts w:ascii="Arial" w:eastAsia="Arial" w:hAnsi="Arial" w:cs="Arial"/>
          <w:b/>
          <w:color w:val="345A8A"/>
          <w:sz w:val="32"/>
          <w:szCs w:val="20"/>
          <w:lang w:val="uk-UA"/>
        </w:rPr>
        <w:t>Теми курсу</w:t>
      </w:r>
    </w:p>
    <w:p w:rsidR="00EC7C21" w:rsidRDefault="00EC7C21" w:rsidP="0036715C">
      <w:pPr>
        <w:ind w:firstLine="709"/>
        <w:jc w:val="both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EC7C21" w:rsidRPr="00C87994" w:rsidRDefault="00EC7C21" w:rsidP="00EC7C21">
      <w:pPr>
        <w:spacing w:line="0" w:lineRule="atLeast"/>
        <w:jc w:val="center"/>
        <w:rPr>
          <w:rFonts w:ascii="Arial" w:eastAsia="Arial" w:hAnsi="Arial" w:cs="Arial"/>
          <w:b/>
          <w:color w:val="345A8A"/>
          <w:sz w:val="22"/>
          <w:szCs w:val="22"/>
          <w:lang w:val="uk-UA"/>
        </w:rPr>
      </w:pPr>
    </w:p>
    <w:p w:rsidR="00EC7C21" w:rsidRPr="00C87994" w:rsidRDefault="00EC7C21" w:rsidP="00EC7C21">
      <w:pPr>
        <w:spacing w:line="0" w:lineRule="atLeast"/>
        <w:jc w:val="center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  <w:r w:rsidRPr="00C8799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25400</wp:posOffset>
                </wp:positionV>
                <wp:extent cx="1998980" cy="624840"/>
                <wp:effectExtent l="6985" t="6350" r="13335" b="698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99594">
                                <a:gamma/>
                                <a:tint val="40000"/>
                                <a:invGamma/>
                              </a:srgbClr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7C21" w:rsidRPr="00D346B8" w:rsidRDefault="0024197C" w:rsidP="00EC7C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Ідентифікація ризиків при організації перевізного процесу</w:t>
                            </w:r>
                          </w:p>
                          <w:p w:rsidR="00EC7C21" w:rsidRPr="00506E36" w:rsidRDefault="00EC7C21" w:rsidP="00EC7C21">
                            <w:pPr>
                              <w:rPr>
                                <w:szCs w:val="2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155.05pt;margin-top:2pt;width:157.4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" fillcolor="#f0d5d4">
                <v:fill color2="#d99594" rotate="t" focus="100%" type="gradient"/>
                <v:textbox>
                  <w:txbxContent>
                    <w:p w:rsidR="00EC7C21" w:rsidRPr="00D346B8" w:rsidRDefault="0024197C" w:rsidP="00EC7C21">
                      <w:pPr>
                        <w:jc w:val="center"/>
                        <w:rPr>
                          <w:b/>
                          <w:sz w:val="22"/>
                          <w:szCs w:val="22"/>
                          <w:lang w:val="uk-UA"/>
                        </w:rPr>
                      </w:pPr>
                      <w:r>
                        <w:rPr>
                          <w:sz w:val="22"/>
                          <w:szCs w:val="22"/>
                          <w:lang w:val="uk-UA"/>
                        </w:rPr>
                        <w:t>Ідентифікація ризиків при організації перевізного процесу</w:t>
                      </w:r>
                    </w:p>
                    <w:p w:rsidR="00EC7C21" w:rsidRPr="00506E36" w:rsidRDefault="00EC7C21" w:rsidP="00EC7C21">
                      <w:pPr>
                        <w:rPr>
                          <w:szCs w:val="22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7994">
        <w:rPr>
          <w:rFonts w:ascii="Arial" w:eastAsia="Arial" w:hAnsi="Arial" w:cs="Arial"/>
          <w:b/>
          <w:noProof/>
          <w:color w:val="345A8A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23495</wp:posOffset>
                </wp:positionV>
                <wp:extent cx="1524000" cy="488950"/>
                <wp:effectExtent l="6985" t="13970" r="12065" b="1143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8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0D9">
                                <a:gamma/>
                                <a:tint val="40000"/>
                                <a:invGamma/>
                              </a:srgbClr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7C21" w:rsidRPr="00F916C8" w:rsidRDefault="00EC7C21" w:rsidP="00EC7C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F916C8"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Зв'язок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і</w:t>
                            </w:r>
                            <w:r w:rsidRPr="00F916C8"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з дисциплінами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-3.2pt;margin-top:1.85pt;width:120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" fillcolor="#ebe6f0">
                <v:fill color2="#ccc0d9" rotate="t" focus="100%" type="gradient"/>
                <v:textbox>
                  <w:txbxContent>
                    <w:p w:rsidR="00EC7C21" w:rsidRPr="00F916C8" w:rsidRDefault="00EC7C21" w:rsidP="00EC7C21">
                      <w:pPr>
                        <w:jc w:val="center"/>
                        <w:rPr>
                          <w:b/>
                          <w:sz w:val="22"/>
                          <w:szCs w:val="22"/>
                          <w:lang w:val="uk-UA"/>
                        </w:rPr>
                      </w:pPr>
                      <w:r w:rsidRPr="00F916C8">
                        <w:rPr>
                          <w:b/>
                          <w:sz w:val="22"/>
                          <w:szCs w:val="22"/>
                          <w:lang w:val="uk-UA"/>
                        </w:rPr>
                        <w:t xml:space="preserve">Зв'язок 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і</w:t>
                      </w:r>
                      <w:r w:rsidRPr="00F916C8">
                        <w:rPr>
                          <w:b/>
                          <w:sz w:val="22"/>
                          <w:szCs w:val="22"/>
                          <w:lang w:val="uk-UA"/>
                        </w:rPr>
                        <w:t>з дисциплінами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7C21" w:rsidRPr="00B90223" w:rsidRDefault="00EC7C21" w:rsidP="00EC7C21">
      <w:pPr>
        <w:spacing w:line="200" w:lineRule="exact"/>
        <w:jc w:val="center"/>
        <w:rPr>
          <w:rFonts w:cs="Arial"/>
          <w:sz w:val="20"/>
          <w:szCs w:val="20"/>
          <w:lang w:val="uk-UA"/>
        </w:rPr>
      </w:pPr>
    </w:p>
    <w:p w:rsidR="00EC7C21" w:rsidRPr="00B90223" w:rsidRDefault="00EC7C21" w:rsidP="00EC7C21">
      <w:pPr>
        <w:tabs>
          <w:tab w:val="left" w:pos="8025"/>
        </w:tabs>
        <w:spacing w:line="294" w:lineRule="exact"/>
        <w:jc w:val="center"/>
        <w:rPr>
          <w:rFonts w:cs="Arial"/>
          <w:sz w:val="20"/>
          <w:szCs w:val="20"/>
          <w:lang w:val="uk-UA"/>
        </w:rPr>
      </w:pPr>
    </w:p>
    <w:p w:rsidR="00EC7C21" w:rsidRPr="00C87994" w:rsidRDefault="00EC7C21" w:rsidP="00EC7C21">
      <w:pPr>
        <w:spacing w:line="0" w:lineRule="atLeast"/>
        <w:ind w:left="20"/>
        <w:jc w:val="center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  <w:r w:rsidRPr="00C8799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175895</wp:posOffset>
                </wp:positionV>
                <wp:extent cx="1988820" cy="680720"/>
                <wp:effectExtent l="7620" t="13970" r="13335" b="1016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99594">
                                <a:gamma/>
                                <a:tint val="40000"/>
                                <a:invGamma/>
                              </a:srgbClr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7C21" w:rsidRPr="00506E36" w:rsidRDefault="0024197C" w:rsidP="0024197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Методи оцінки та управління ризиками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155.85pt;margin-top:13.85pt;width:156.6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" fillcolor="#f0d5d4">
                <v:fill color2="#d99594" rotate="t" focus="100%" type="gradient"/>
                <v:textbox>
                  <w:txbxContent>
                    <w:p w:rsidR="00EC7C21" w:rsidRPr="00506E36" w:rsidRDefault="0024197C" w:rsidP="0024197C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k-UA"/>
                        </w:rPr>
                        <w:t>Методи оцінки та управління ризиками</w:t>
                      </w:r>
                    </w:p>
                  </w:txbxContent>
                </v:textbox>
              </v:roundrect>
            </w:pict>
          </mc:Fallback>
        </mc:AlternateContent>
      </w:r>
      <w:r w:rsidRPr="00C87994">
        <w:rPr>
          <w:rFonts w:ascii="Arial" w:eastAsia="Arial" w:hAnsi="Arial" w:cs="Arial"/>
          <w:b/>
          <w:noProof/>
          <w:color w:val="345A8A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102870</wp:posOffset>
                </wp:positionV>
                <wp:extent cx="1524000" cy="665480"/>
                <wp:effectExtent l="6985" t="7620" r="12065" b="1270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6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0D9">
                                <a:gamma/>
                                <a:tint val="40000"/>
                                <a:invGamma/>
                              </a:srgbClr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7C21" w:rsidRPr="008D7588" w:rsidRDefault="00EC7C21" w:rsidP="00EC7C2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Вантажні перевезення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-3.2pt;margin-top:8.1pt;width:120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" fillcolor="#ebe6f0">
                <v:fill color2="#ccc0d9" rotate="t" focus="100%" type="gradient"/>
                <v:textbox>
                  <w:txbxContent>
                    <w:p w:rsidR="00EC7C21" w:rsidRPr="008D7588" w:rsidRDefault="00EC7C21" w:rsidP="00EC7C21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>
                        <w:rPr>
                          <w:sz w:val="22"/>
                          <w:szCs w:val="22"/>
                          <w:lang w:val="uk-UA"/>
                        </w:rPr>
                        <w:t>Вантажні перевезення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7C21" w:rsidRPr="00C87994" w:rsidRDefault="00EC7C21" w:rsidP="00EC7C21">
      <w:pPr>
        <w:spacing w:line="0" w:lineRule="atLeast"/>
        <w:ind w:left="20"/>
        <w:jc w:val="center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EC7C21" w:rsidRPr="00C87994" w:rsidRDefault="00E67C5A" w:rsidP="00EC7C21">
      <w:pPr>
        <w:spacing w:line="0" w:lineRule="atLeast"/>
        <w:ind w:left="20"/>
        <w:jc w:val="center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  <w:r w:rsidRPr="00C8799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F545C" wp14:editId="4A24320D">
                <wp:simplePos x="0" y="0"/>
                <wp:positionH relativeFrom="column">
                  <wp:posOffset>1977390</wp:posOffset>
                </wp:positionH>
                <wp:positionV relativeFrom="paragraph">
                  <wp:posOffset>194310</wp:posOffset>
                </wp:positionV>
                <wp:extent cx="1988820" cy="1088390"/>
                <wp:effectExtent l="0" t="0" r="11430" b="1651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1088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99594">
                                <a:gamma/>
                                <a:tint val="40000"/>
                                <a:invGamma/>
                              </a:srgbClr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7C21" w:rsidRPr="00E67C5A" w:rsidRDefault="00E67C5A" w:rsidP="00EC7C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7C5A">
                              <w:rPr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Виявлення стратегії реагування на ризик шляхом підбору відповідних методів  боротьби з ними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F545C" id="Скругленный прямоугольник 4" o:spid="_x0000_s1030" style="position:absolute;left:0;text-align:left;margin-left:155.7pt;margin-top:15.3pt;width:156.6pt;height:8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" fillcolor="#f0d5d4">
                <v:fill color2="#d99594" rotate="t" focus="100%" type="gradient"/>
                <v:textbox>
                  <w:txbxContent>
                    <w:p w:rsidR="00EC7C21" w:rsidRPr="00E67C5A" w:rsidRDefault="00E67C5A" w:rsidP="00EC7C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67C5A">
                        <w:rPr>
                          <w:color w:val="000000"/>
                          <w:sz w:val="22"/>
                          <w:szCs w:val="22"/>
                          <w:lang w:val="uk-UA"/>
                        </w:rPr>
                        <w:t>Виявлення стратегії реагування на ризик шляхом підбору відповідних методів  боротьби з ними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7C21" w:rsidRPr="00C87994" w:rsidRDefault="00EC7C21" w:rsidP="00EC7C21">
      <w:pPr>
        <w:spacing w:line="0" w:lineRule="atLeast"/>
        <w:ind w:left="20"/>
        <w:jc w:val="center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EC7C21" w:rsidRPr="00C87994" w:rsidRDefault="00EC7C21" w:rsidP="00EC7C21">
      <w:pPr>
        <w:spacing w:line="0" w:lineRule="atLeast"/>
        <w:ind w:left="20"/>
        <w:jc w:val="center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  <w:r w:rsidRPr="00C87994">
        <w:rPr>
          <w:rFonts w:ascii="Arial" w:eastAsia="Arial" w:hAnsi="Arial" w:cs="Arial"/>
          <w:b/>
          <w:noProof/>
          <w:color w:val="345A8A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29210</wp:posOffset>
                </wp:positionV>
                <wp:extent cx="1457960" cy="661670"/>
                <wp:effectExtent l="6350" t="10160" r="12065" b="1397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661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0D9">
                                <a:gamma/>
                                <a:tint val="40000"/>
                                <a:invGamma/>
                              </a:srgbClr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197C" w:rsidRDefault="0024197C" w:rsidP="0024197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Управління експлуатаційною</w:t>
                            </w:r>
                          </w:p>
                          <w:p w:rsidR="0024197C" w:rsidRPr="00533259" w:rsidRDefault="0024197C" w:rsidP="0024197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роботою</w:t>
                            </w:r>
                          </w:p>
                          <w:p w:rsidR="00EC7C21" w:rsidRPr="00C5500B" w:rsidRDefault="00EC7C21" w:rsidP="00EC7C2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1" style="position:absolute;left:0;text-align:left;margin-left:2pt;margin-top:2.3pt;width:114.8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" fillcolor="#ebe6f0">
                <v:fill color2="#ccc0d9" rotate="t" focus="100%" type="gradient"/>
                <v:textbox>
                  <w:txbxContent>
                    <w:p w:rsidR="0024197C" w:rsidRDefault="0024197C" w:rsidP="0024197C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>
                        <w:rPr>
                          <w:sz w:val="22"/>
                          <w:szCs w:val="22"/>
                          <w:lang w:val="uk-UA"/>
                        </w:rPr>
                        <w:t>Управління експлуатаційною</w:t>
                      </w:r>
                    </w:p>
                    <w:p w:rsidR="0024197C" w:rsidRPr="00533259" w:rsidRDefault="0024197C" w:rsidP="0024197C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>
                        <w:rPr>
                          <w:sz w:val="22"/>
                          <w:szCs w:val="22"/>
                          <w:lang w:val="uk-UA"/>
                        </w:rPr>
                        <w:t>роботою</w:t>
                      </w:r>
                    </w:p>
                    <w:p w:rsidR="00EC7C21" w:rsidRPr="00C5500B" w:rsidRDefault="00EC7C21" w:rsidP="00EC7C21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7C21" w:rsidRPr="00C87994" w:rsidRDefault="00EC7C21" w:rsidP="00EC7C21">
      <w:pPr>
        <w:spacing w:line="0" w:lineRule="atLeast"/>
        <w:ind w:left="20"/>
        <w:jc w:val="center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EC7C21" w:rsidRPr="00C87994" w:rsidRDefault="00EC7C21" w:rsidP="00EC7C21">
      <w:pPr>
        <w:spacing w:line="0" w:lineRule="atLeast"/>
        <w:ind w:left="20"/>
        <w:jc w:val="center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EC7C21" w:rsidRPr="00C87994" w:rsidRDefault="00EC7C21" w:rsidP="00EC7C21">
      <w:pPr>
        <w:spacing w:line="0" w:lineRule="atLeast"/>
        <w:ind w:left="20"/>
        <w:jc w:val="center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  <w:r>
        <w:rPr>
          <w:rFonts w:ascii="Arial" w:eastAsia="Arial" w:hAnsi="Arial" w:cs="Arial"/>
          <w:b/>
          <w:noProof/>
          <w:color w:val="345A8A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DE8F6" wp14:editId="2F8EFA0A">
                <wp:simplePos x="0" y="0"/>
                <wp:positionH relativeFrom="column">
                  <wp:posOffset>34290</wp:posOffset>
                </wp:positionH>
                <wp:positionV relativeFrom="paragraph">
                  <wp:posOffset>184149</wp:posOffset>
                </wp:positionV>
                <wp:extent cx="1440815" cy="828675"/>
                <wp:effectExtent l="0" t="0" r="26035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0D9">
                                <a:gamma/>
                                <a:tint val="40000"/>
                                <a:invGamma/>
                              </a:srgbClr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197C" w:rsidRPr="00533259" w:rsidRDefault="00AB5252" w:rsidP="00EC7C2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Організація перевезень небезпечних вантажів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DE8F6" id="Скругленный прямоугольник 2" o:spid="_x0000_s1032" style="position:absolute;left:0;text-align:left;margin-left:2.7pt;margin-top:14.5pt;width:113.4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" fillcolor="#ebe6f0">
                <v:fill color2="#ccc0d9" rotate="t" focus="100%" type="gradient"/>
                <v:textbox>
                  <w:txbxContent>
                    <w:p w:rsidR="0024197C" w:rsidRPr="00533259" w:rsidRDefault="00AB5252" w:rsidP="00EC7C21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>
                        <w:rPr>
                          <w:sz w:val="22"/>
                          <w:szCs w:val="22"/>
                          <w:lang w:val="uk-UA"/>
                        </w:rPr>
                        <w:t>Організація перевезень небезпечних вантажів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7C21" w:rsidRPr="00C87994" w:rsidRDefault="00E67C5A" w:rsidP="00EC7C21">
      <w:pPr>
        <w:spacing w:line="0" w:lineRule="atLeast"/>
        <w:ind w:left="20"/>
        <w:jc w:val="center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  <w:r w:rsidRPr="00C87994">
        <w:rPr>
          <w:rFonts w:ascii="Arial" w:eastAsia="Arial" w:hAnsi="Arial" w:cs="Arial"/>
          <w:b/>
          <w:noProof/>
          <w:color w:val="345A8A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1FC79" wp14:editId="145F8387">
                <wp:simplePos x="0" y="0"/>
                <wp:positionH relativeFrom="column">
                  <wp:posOffset>1748790</wp:posOffset>
                </wp:positionH>
                <wp:positionV relativeFrom="paragraph">
                  <wp:posOffset>59055</wp:posOffset>
                </wp:positionV>
                <wp:extent cx="3514725" cy="89535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99594">
                                <a:gamma/>
                                <a:tint val="40000"/>
                                <a:invGamma/>
                              </a:srgbClr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7C21" w:rsidRPr="00E67C5A" w:rsidRDefault="00E67C5A" w:rsidP="00E67C5A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E67C5A">
                              <w:rPr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Контроль, моніторинг, оцінка результатів впливу обраних методів на ризик, розвиток подальшої стратегії впливу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1FC79" id="Скругленный прямоугольник 1" o:spid="_x0000_s1033" style="position:absolute;left:0;text-align:left;margin-left:137.7pt;margin-top:4.65pt;width:276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" fillcolor="#f0d5d4">
                <v:fill color2="#d99594" rotate="t" focus="100%" type="gradient"/>
                <v:textbox>
                  <w:txbxContent>
                    <w:p w:rsidR="00EC7C21" w:rsidRPr="00E67C5A" w:rsidRDefault="00E67C5A" w:rsidP="00E67C5A">
                      <w:pPr>
                        <w:spacing w:line="360" w:lineRule="auto"/>
                        <w:ind w:firstLine="709"/>
                        <w:jc w:val="center"/>
                        <w:rPr>
                          <w:color w:val="000000"/>
                          <w:sz w:val="22"/>
                          <w:szCs w:val="22"/>
                          <w:lang w:val="uk-UA"/>
                        </w:rPr>
                      </w:pPr>
                      <w:r w:rsidRPr="00E67C5A">
                        <w:rPr>
                          <w:color w:val="000000"/>
                          <w:sz w:val="22"/>
                          <w:szCs w:val="22"/>
                          <w:lang w:val="uk-UA"/>
                        </w:rPr>
                        <w:t>Контроль, моніторинг, оцінка результатів впливу обраних методів на ризик, розвиток подальшої стратегії впливу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7C21" w:rsidRPr="00C87994" w:rsidRDefault="00EC7C21" w:rsidP="00EC7C21">
      <w:pPr>
        <w:spacing w:line="0" w:lineRule="atLeast"/>
        <w:ind w:left="20"/>
        <w:jc w:val="center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EC7C21" w:rsidRPr="00C87994" w:rsidRDefault="00EC7C21" w:rsidP="00EC7C21">
      <w:pPr>
        <w:spacing w:line="0" w:lineRule="atLeast"/>
        <w:ind w:left="20"/>
        <w:jc w:val="center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EC7C21" w:rsidRDefault="00EC7C21" w:rsidP="0036715C">
      <w:pPr>
        <w:ind w:firstLine="709"/>
        <w:jc w:val="both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EC7C21" w:rsidRDefault="00EC7C21" w:rsidP="0036715C">
      <w:pPr>
        <w:spacing w:line="0" w:lineRule="atLeast"/>
        <w:ind w:firstLine="720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EC7C21" w:rsidRDefault="00EC7C21" w:rsidP="0036715C">
      <w:pPr>
        <w:spacing w:line="0" w:lineRule="atLeast"/>
        <w:ind w:firstLine="720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6A666F" w:rsidRDefault="006A666F" w:rsidP="0036715C">
      <w:pPr>
        <w:spacing w:line="0" w:lineRule="atLeast"/>
        <w:ind w:firstLine="720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36715C" w:rsidRDefault="0036715C" w:rsidP="0036715C">
      <w:pPr>
        <w:spacing w:line="0" w:lineRule="atLeast"/>
        <w:ind w:firstLine="720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  <w:r w:rsidRPr="00CB0F50">
        <w:rPr>
          <w:rFonts w:ascii="Arial" w:eastAsia="Arial" w:hAnsi="Arial" w:cs="Arial"/>
          <w:b/>
          <w:color w:val="345A8A"/>
          <w:sz w:val="32"/>
          <w:szCs w:val="20"/>
          <w:lang w:val="uk-UA"/>
        </w:rPr>
        <w:t>Лекції та практичні заняття</w:t>
      </w:r>
    </w:p>
    <w:p w:rsidR="006A666F" w:rsidRDefault="006A666F" w:rsidP="0036715C">
      <w:pPr>
        <w:spacing w:line="0" w:lineRule="atLeast"/>
        <w:ind w:firstLine="720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6A666F" w:rsidRPr="006A666F" w:rsidRDefault="006A666F" w:rsidP="0036715C">
      <w:pPr>
        <w:spacing w:line="0" w:lineRule="atLeast"/>
        <w:ind w:firstLine="720"/>
        <w:rPr>
          <w:rFonts w:ascii="Arial" w:eastAsia="Arial" w:hAnsi="Arial" w:cs="Arial"/>
          <w:b/>
          <w:color w:val="345A8A"/>
          <w:lang w:val="uk-UA"/>
        </w:rPr>
      </w:pPr>
      <w:r w:rsidRPr="006A666F">
        <w:t xml:space="preserve">Список </w:t>
      </w:r>
      <w:proofErr w:type="spellStart"/>
      <w:r w:rsidRPr="006A666F">
        <w:t>основних</w:t>
      </w:r>
      <w:proofErr w:type="spellEnd"/>
      <w:r w:rsidRPr="006A666F">
        <w:t xml:space="preserve"> </w:t>
      </w:r>
      <w:proofErr w:type="spellStart"/>
      <w:r w:rsidRPr="006A666F">
        <w:t>лекцій</w:t>
      </w:r>
      <w:proofErr w:type="spellEnd"/>
      <w:r w:rsidRPr="006A666F">
        <w:t xml:space="preserve"> та </w:t>
      </w:r>
      <w:proofErr w:type="spellStart"/>
      <w:r w:rsidRPr="006A666F">
        <w:t>практичних</w:t>
      </w:r>
      <w:proofErr w:type="spellEnd"/>
      <w:r w:rsidRPr="006A666F">
        <w:t xml:space="preserve"> занять курсу наведений </w:t>
      </w:r>
      <w:proofErr w:type="spellStart"/>
      <w:r w:rsidRPr="006A666F">
        <w:t>нижче</w:t>
      </w:r>
      <w:proofErr w:type="spellEnd"/>
      <w:r w:rsidRPr="006A666F">
        <w:t xml:space="preserve">. </w:t>
      </w:r>
      <w:proofErr w:type="spellStart"/>
      <w:r w:rsidRPr="006A666F">
        <w:t>Пильнуйте</w:t>
      </w:r>
      <w:proofErr w:type="spellEnd"/>
      <w:r w:rsidRPr="006A666F">
        <w:t xml:space="preserve"> за </w:t>
      </w:r>
      <w:proofErr w:type="spellStart"/>
      <w:r w:rsidRPr="006A666F">
        <w:t>змінами</w:t>
      </w:r>
      <w:proofErr w:type="spellEnd"/>
      <w:r w:rsidRPr="006A666F">
        <w:t xml:space="preserve"> у </w:t>
      </w:r>
      <w:proofErr w:type="spellStart"/>
      <w:r w:rsidRPr="006A666F">
        <w:t>розкладі</w:t>
      </w:r>
      <w:proofErr w:type="spellEnd"/>
      <w:r w:rsidRPr="006A666F">
        <w:t>.</w:t>
      </w:r>
    </w:p>
    <w:p w:rsidR="006A666F" w:rsidRDefault="006A666F" w:rsidP="0036715C">
      <w:pPr>
        <w:spacing w:line="0" w:lineRule="atLeast"/>
        <w:ind w:firstLine="709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6A666F" w:rsidRDefault="006A666F" w:rsidP="006A666F">
      <w:pPr>
        <w:spacing w:line="0" w:lineRule="atLeast"/>
        <w:ind w:left="20" w:firstLine="689"/>
        <w:jc w:val="center"/>
        <w:rPr>
          <w:rFonts w:eastAsia="Arial"/>
          <w:b/>
          <w:lang w:val="uk-UA"/>
        </w:rPr>
      </w:pPr>
      <w:r>
        <w:rPr>
          <w:rFonts w:eastAsia="Arial"/>
          <w:b/>
          <w:lang w:val="uk-UA"/>
        </w:rPr>
        <w:t>Денна</w:t>
      </w:r>
      <w:r w:rsidR="00276554">
        <w:rPr>
          <w:rFonts w:eastAsia="Arial"/>
          <w:b/>
          <w:lang w:val="uk-UA"/>
        </w:rPr>
        <w:t xml:space="preserve"> та скорочена</w:t>
      </w:r>
      <w:r>
        <w:rPr>
          <w:rFonts w:eastAsia="Arial"/>
          <w:b/>
          <w:lang w:val="uk-UA"/>
        </w:rPr>
        <w:t xml:space="preserve"> форма навчання</w:t>
      </w:r>
    </w:p>
    <w:p w:rsidR="006A666F" w:rsidRDefault="006A666F" w:rsidP="006A666F">
      <w:pPr>
        <w:spacing w:line="0" w:lineRule="atLeast"/>
        <w:ind w:left="20" w:firstLine="689"/>
        <w:jc w:val="center"/>
        <w:rPr>
          <w:rFonts w:eastAsia="Arial"/>
          <w:b/>
          <w:lang w:val="uk-UA"/>
        </w:rPr>
      </w:pPr>
    </w:p>
    <w:p w:rsidR="006A666F" w:rsidRPr="007560F3" w:rsidRDefault="006A666F" w:rsidP="006A666F">
      <w:pPr>
        <w:spacing w:line="0" w:lineRule="atLeast"/>
        <w:ind w:left="20" w:firstLine="689"/>
        <w:jc w:val="center"/>
        <w:rPr>
          <w:rFonts w:eastAsia="Arial"/>
          <w:b/>
          <w:lang w:val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86"/>
        <w:gridCol w:w="3396"/>
        <w:gridCol w:w="486"/>
        <w:gridCol w:w="4491"/>
      </w:tblGrid>
      <w:tr w:rsidR="006A666F" w:rsidRPr="009B4F6F" w:rsidTr="00B35262">
        <w:trPr>
          <w:trHeight w:val="283"/>
        </w:trPr>
        <w:tc>
          <w:tcPr>
            <w:tcW w:w="260" w:type="pct"/>
            <w:vMerge w:val="restart"/>
            <w:textDirection w:val="btLr"/>
            <w:vAlign w:val="center"/>
          </w:tcPr>
          <w:p w:rsidR="006A666F" w:rsidRPr="009B4F6F" w:rsidRDefault="006A666F" w:rsidP="00B352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260" w:type="pct"/>
            <w:vMerge w:val="restart"/>
            <w:textDirection w:val="btLr"/>
            <w:vAlign w:val="center"/>
          </w:tcPr>
          <w:p w:rsidR="006A666F" w:rsidRPr="009B4F6F" w:rsidRDefault="006A666F" w:rsidP="00B352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817" w:type="pct"/>
            <w:vMerge w:val="restart"/>
            <w:vAlign w:val="center"/>
          </w:tcPr>
          <w:p w:rsidR="006A666F" w:rsidRPr="009B4F6F" w:rsidRDefault="006A666F" w:rsidP="00B35262">
            <w:pPr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Тема лекції</w:t>
            </w:r>
          </w:p>
        </w:tc>
        <w:tc>
          <w:tcPr>
            <w:tcW w:w="260" w:type="pct"/>
            <w:vMerge w:val="restart"/>
            <w:textDirection w:val="btLr"/>
            <w:vAlign w:val="center"/>
          </w:tcPr>
          <w:p w:rsidR="006A666F" w:rsidRPr="009B4F6F" w:rsidRDefault="006A666F" w:rsidP="00B352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2403" w:type="pct"/>
            <w:vMerge w:val="restart"/>
            <w:vAlign w:val="center"/>
          </w:tcPr>
          <w:p w:rsidR="006A666F" w:rsidRPr="009B4F6F" w:rsidRDefault="006A666F" w:rsidP="00B35262">
            <w:pPr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Тема практичних, семінарських та лабораторних занять</w:t>
            </w:r>
          </w:p>
        </w:tc>
      </w:tr>
      <w:tr w:rsidR="006A666F" w:rsidRPr="009B4F6F" w:rsidTr="00B35262">
        <w:trPr>
          <w:trHeight w:val="276"/>
        </w:trPr>
        <w:tc>
          <w:tcPr>
            <w:tcW w:w="260" w:type="pct"/>
            <w:vMerge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vMerge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7" w:type="pct"/>
            <w:vMerge/>
            <w:vAlign w:val="center"/>
          </w:tcPr>
          <w:p w:rsidR="006A666F" w:rsidRPr="009B4F6F" w:rsidRDefault="006A666F" w:rsidP="00B3526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vMerge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3" w:type="pct"/>
            <w:vMerge/>
            <w:vAlign w:val="center"/>
          </w:tcPr>
          <w:p w:rsidR="006A666F" w:rsidRPr="009B4F6F" w:rsidRDefault="006A666F" w:rsidP="00B35262">
            <w:pPr>
              <w:rPr>
                <w:sz w:val="20"/>
                <w:szCs w:val="20"/>
                <w:lang w:val="uk-UA"/>
              </w:rPr>
            </w:pPr>
          </w:p>
        </w:tc>
      </w:tr>
      <w:tr w:rsidR="006A666F" w:rsidRPr="005966DD" w:rsidTr="00B35262">
        <w:trPr>
          <w:trHeight w:val="761"/>
        </w:trPr>
        <w:tc>
          <w:tcPr>
            <w:tcW w:w="260" w:type="pct"/>
            <w:vMerge/>
            <w:vAlign w:val="center"/>
          </w:tcPr>
          <w:p w:rsidR="006A666F" w:rsidRPr="005966DD" w:rsidRDefault="006A666F" w:rsidP="00B35262">
            <w:pPr>
              <w:jc w:val="center"/>
              <w:rPr>
                <w:lang w:val="uk-UA"/>
              </w:rPr>
            </w:pPr>
          </w:p>
        </w:tc>
        <w:tc>
          <w:tcPr>
            <w:tcW w:w="260" w:type="pct"/>
            <w:vMerge/>
            <w:vAlign w:val="center"/>
          </w:tcPr>
          <w:p w:rsidR="006A666F" w:rsidRPr="005966DD" w:rsidRDefault="006A666F" w:rsidP="00B35262">
            <w:pPr>
              <w:jc w:val="center"/>
              <w:rPr>
                <w:lang w:val="uk-UA"/>
              </w:rPr>
            </w:pPr>
          </w:p>
        </w:tc>
        <w:tc>
          <w:tcPr>
            <w:tcW w:w="1817" w:type="pct"/>
            <w:vMerge/>
            <w:vAlign w:val="center"/>
          </w:tcPr>
          <w:p w:rsidR="006A666F" w:rsidRPr="005966DD" w:rsidRDefault="006A666F" w:rsidP="00B35262">
            <w:pPr>
              <w:rPr>
                <w:lang w:val="uk-UA"/>
              </w:rPr>
            </w:pPr>
          </w:p>
        </w:tc>
        <w:tc>
          <w:tcPr>
            <w:tcW w:w="260" w:type="pct"/>
            <w:vMerge/>
            <w:vAlign w:val="center"/>
          </w:tcPr>
          <w:p w:rsidR="006A666F" w:rsidRPr="005966DD" w:rsidRDefault="006A666F" w:rsidP="00B35262">
            <w:pPr>
              <w:jc w:val="center"/>
              <w:rPr>
                <w:lang w:val="uk-UA"/>
              </w:rPr>
            </w:pPr>
          </w:p>
        </w:tc>
        <w:tc>
          <w:tcPr>
            <w:tcW w:w="2403" w:type="pct"/>
            <w:vMerge/>
            <w:vAlign w:val="center"/>
          </w:tcPr>
          <w:p w:rsidR="006A666F" w:rsidRPr="005966DD" w:rsidRDefault="006A666F" w:rsidP="00B35262">
            <w:pPr>
              <w:rPr>
                <w:lang w:val="uk-UA"/>
              </w:rPr>
            </w:pPr>
          </w:p>
        </w:tc>
      </w:tr>
      <w:tr w:rsidR="006A666F" w:rsidRPr="00C363AF" w:rsidTr="00B35262">
        <w:trPr>
          <w:trHeight w:val="627"/>
        </w:trPr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 xml:space="preserve">Лекц.№1. </w:t>
            </w:r>
            <w:r w:rsidR="0031141F" w:rsidRPr="0031141F">
              <w:rPr>
                <w:sz w:val="20"/>
                <w:szCs w:val="20"/>
                <w:lang w:val="uk-UA"/>
              </w:rPr>
              <w:t>Сутність дисципліни «Ризик-орієнтовані технології перевезень», поняття та зміст ризику, його функції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6A666F" w:rsidRPr="009B4F6F" w:rsidRDefault="006A666F" w:rsidP="00315F29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 xml:space="preserve">ПР-1 </w:t>
            </w:r>
            <w:r w:rsidR="00315F29">
              <w:rPr>
                <w:sz w:val="20"/>
                <w:szCs w:val="20"/>
                <w:lang w:val="uk-UA"/>
              </w:rPr>
              <w:t>Небезпека. Ризик – як оцінка небезпеки</w:t>
            </w:r>
            <w:r w:rsidRPr="009B4F6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A666F" w:rsidRPr="005966DD" w:rsidTr="00B35262">
        <w:trPr>
          <w:trHeight w:val="551"/>
        </w:trPr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6A666F" w:rsidRPr="009B4F6F" w:rsidRDefault="006A666F" w:rsidP="005D2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 xml:space="preserve">Лекц.№2. </w:t>
            </w:r>
            <w:r w:rsidRPr="001A0E00">
              <w:rPr>
                <w:sz w:val="20"/>
                <w:szCs w:val="20"/>
                <w:lang w:val="uk-UA"/>
              </w:rPr>
              <w:t xml:space="preserve"> </w:t>
            </w:r>
            <w:r w:rsidR="005D2246" w:rsidRPr="005D2246">
              <w:rPr>
                <w:sz w:val="20"/>
                <w:szCs w:val="20"/>
                <w:lang w:val="uk-UA"/>
              </w:rPr>
              <w:t xml:space="preserve"> </w:t>
            </w:r>
            <w:r w:rsidR="0031141F" w:rsidRPr="0031141F">
              <w:rPr>
                <w:sz w:val="20"/>
                <w:szCs w:val="20"/>
                <w:lang w:val="uk-UA"/>
              </w:rPr>
              <w:t>Нормативно-правове регулювання ризиків та їх прийнятних рівнів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A666F" w:rsidRPr="005966DD" w:rsidTr="00B35262">
        <w:trPr>
          <w:trHeight w:val="544"/>
        </w:trPr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</w:tcPr>
          <w:p w:rsidR="006A666F" w:rsidRPr="009B4F6F" w:rsidRDefault="006A666F" w:rsidP="006A6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Лекц.№3.</w:t>
            </w:r>
            <w:r w:rsidR="005D2246" w:rsidRPr="005D2246">
              <w:rPr>
                <w:sz w:val="20"/>
                <w:szCs w:val="20"/>
                <w:lang w:val="uk-UA"/>
              </w:rPr>
              <w:t xml:space="preserve"> </w:t>
            </w:r>
            <w:r w:rsidR="0031141F" w:rsidRPr="0031141F">
              <w:rPr>
                <w:sz w:val="20"/>
                <w:szCs w:val="20"/>
                <w:lang w:val="uk-UA"/>
              </w:rPr>
              <w:t>Процес управління ризиками на залізничному транспорті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6A666F" w:rsidRPr="009B4F6F" w:rsidRDefault="00FE32D2" w:rsidP="00600A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ПР-2</w:t>
            </w:r>
            <w:r w:rsidR="006A666F" w:rsidRPr="009B4F6F">
              <w:rPr>
                <w:sz w:val="20"/>
                <w:szCs w:val="20"/>
                <w:lang w:val="uk-UA"/>
              </w:rPr>
              <w:t xml:space="preserve"> </w:t>
            </w:r>
            <w:r w:rsidR="00600A49">
              <w:rPr>
                <w:sz w:val="20"/>
                <w:szCs w:val="20"/>
                <w:lang w:val="uk-UA"/>
              </w:rPr>
              <w:t>Нормативно-правове регулювання безпеки і ризику</w:t>
            </w:r>
          </w:p>
        </w:tc>
      </w:tr>
      <w:tr w:rsidR="006A666F" w:rsidRPr="005966DD" w:rsidTr="00B35262"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6A666F" w:rsidRPr="00554D91" w:rsidRDefault="006A666F" w:rsidP="003114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631A5">
              <w:rPr>
                <w:sz w:val="20"/>
                <w:szCs w:val="20"/>
                <w:lang w:val="uk-UA"/>
              </w:rPr>
              <w:t xml:space="preserve">Лекц.№4. </w:t>
            </w:r>
            <w:r w:rsidR="00554A6C" w:rsidRPr="00554A6C">
              <w:rPr>
                <w:sz w:val="20"/>
                <w:szCs w:val="20"/>
                <w:lang w:val="uk-UA"/>
              </w:rPr>
              <w:t xml:space="preserve"> </w:t>
            </w:r>
            <w:r w:rsidR="0031141F">
              <w:rPr>
                <w:sz w:val="20"/>
                <w:szCs w:val="20"/>
                <w:lang w:val="uk-UA"/>
              </w:rPr>
              <w:t>Класифікація ризиків при перевізному процесі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A666F" w:rsidRPr="005966DD" w:rsidTr="00B35262"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6A666F" w:rsidRPr="00554D91" w:rsidRDefault="006A666F" w:rsidP="006F2DF7">
            <w:pPr>
              <w:pStyle w:val="Default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6F2DF7">
              <w:rPr>
                <w:color w:val="auto"/>
                <w:sz w:val="20"/>
                <w:szCs w:val="20"/>
                <w:lang w:val="uk-UA" w:eastAsia="ru-RU"/>
              </w:rPr>
              <w:t>Лекц.№5.</w:t>
            </w:r>
            <w:r w:rsidR="0031141F">
              <w:rPr>
                <w:color w:val="auto"/>
                <w:sz w:val="20"/>
                <w:szCs w:val="20"/>
                <w:lang w:val="uk-UA" w:eastAsia="ru-RU"/>
              </w:rPr>
              <w:t xml:space="preserve"> Методи оцінки ризиків, кількісні методи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6A666F" w:rsidRPr="009B4F6F" w:rsidRDefault="00FE32D2" w:rsidP="00600A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ПР-3</w:t>
            </w:r>
            <w:r w:rsidR="006A666F" w:rsidRPr="009B4F6F">
              <w:rPr>
                <w:sz w:val="20"/>
                <w:szCs w:val="20"/>
                <w:lang w:val="uk-UA"/>
              </w:rPr>
              <w:t xml:space="preserve"> </w:t>
            </w:r>
            <w:r w:rsidR="00E25434">
              <w:rPr>
                <w:sz w:val="20"/>
                <w:szCs w:val="20"/>
                <w:lang w:val="uk-UA"/>
              </w:rPr>
              <w:t xml:space="preserve">Визначення </w:t>
            </w:r>
            <w:r w:rsidR="00600A49">
              <w:rPr>
                <w:sz w:val="20"/>
                <w:szCs w:val="20"/>
                <w:lang w:val="uk-UA"/>
              </w:rPr>
              <w:t>основних етапів ефективного управління ризиками</w:t>
            </w:r>
          </w:p>
        </w:tc>
      </w:tr>
      <w:tr w:rsidR="006A666F" w:rsidRPr="005966DD" w:rsidTr="00B35262">
        <w:trPr>
          <w:trHeight w:val="725"/>
        </w:trPr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6A666F" w:rsidRPr="009B4F6F" w:rsidRDefault="006A666F" w:rsidP="006F2DF7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 xml:space="preserve">Лекц.№6. </w:t>
            </w:r>
            <w:r w:rsidR="005631A5">
              <w:rPr>
                <w:sz w:val="20"/>
                <w:szCs w:val="20"/>
                <w:lang w:val="uk-UA"/>
              </w:rPr>
              <w:t xml:space="preserve">Методи </w:t>
            </w:r>
            <w:r w:rsidR="0031141F">
              <w:rPr>
                <w:sz w:val="20"/>
                <w:szCs w:val="20"/>
                <w:lang w:val="uk-UA"/>
              </w:rPr>
              <w:t>оцінки ризиків, якісні методи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A666F" w:rsidRPr="005966DD" w:rsidTr="00B35262">
        <w:trPr>
          <w:trHeight w:val="725"/>
        </w:trPr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6A666F" w:rsidRPr="00554A6C" w:rsidRDefault="006A666F" w:rsidP="00554A6C">
            <w:pPr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Лекц.№</w:t>
            </w:r>
            <w:r>
              <w:rPr>
                <w:sz w:val="20"/>
                <w:szCs w:val="20"/>
                <w:lang w:val="uk-UA"/>
              </w:rPr>
              <w:t>7</w:t>
            </w:r>
            <w:r w:rsidRPr="009B4F6F">
              <w:rPr>
                <w:sz w:val="20"/>
                <w:szCs w:val="20"/>
                <w:lang w:val="uk-UA"/>
              </w:rPr>
              <w:t xml:space="preserve">. </w:t>
            </w:r>
            <w:r w:rsidR="006F2DF7">
              <w:rPr>
                <w:sz w:val="20"/>
                <w:szCs w:val="20"/>
                <w:lang w:val="uk-UA"/>
              </w:rPr>
              <w:t xml:space="preserve"> </w:t>
            </w:r>
            <w:r w:rsidR="00554A6C" w:rsidRPr="00554A6C">
              <w:rPr>
                <w:sz w:val="20"/>
                <w:szCs w:val="20"/>
                <w:lang w:val="uk-UA"/>
              </w:rPr>
              <w:t xml:space="preserve"> </w:t>
            </w:r>
            <w:r w:rsidR="00600A49" w:rsidRPr="00BD0975">
              <w:rPr>
                <w:sz w:val="20"/>
                <w:szCs w:val="20"/>
                <w:lang w:val="uk-UA"/>
              </w:rPr>
              <w:t xml:space="preserve"> Стратегія управління ризиками в умовах перевезення небезпечних вантажів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03" w:type="pct"/>
            <w:vAlign w:val="center"/>
          </w:tcPr>
          <w:p w:rsidR="006A666F" w:rsidRPr="009B4F6F" w:rsidRDefault="00FE32D2" w:rsidP="00600A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ПР-4</w:t>
            </w:r>
            <w:r w:rsidR="006A666F" w:rsidRPr="009B4F6F">
              <w:rPr>
                <w:sz w:val="20"/>
                <w:szCs w:val="20"/>
                <w:lang w:val="uk-UA"/>
              </w:rPr>
              <w:t xml:space="preserve"> </w:t>
            </w:r>
            <w:r w:rsidR="006A666F">
              <w:rPr>
                <w:sz w:val="20"/>
                <w:szCs w:val="20"/>
                <w:lang w:val="uk-UA"/>
              </w:rPr>
              <w:t xml:space="preserve"> </w:t>
            </w:r>
            <w:r w:rsidR="00600A49">
              <w:rPr>
                <w:sz w:val="20"/>
                <w:szCs w:val="20"/>
                <w:lang w:val="uk-UA"/>
              </w:rPr>
              <w:t>Застосування методів оцінки ризику</w:t>
            </w:r>
          </w:p>
        </w:tc>
      </w:tr>
      <w:tr w:rsidR="006A666F" w:rsidRPr="005966DD" w:rsidTr="00B35262"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6A666F" w:rsidRPr="005631A5" w:rsidRDefault="006A666F" w:rsidP="00BD0975">
            <w:pPr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Лекц.№8.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6F2DF7" w:rsidRPr="00BD0975">
              <w:rPr>
                <w:sz w:val="20"/>
                <w:szCs w:val="20"/>
                <w:lang w:val="uk-UA"/>
              </w:rPr>
              <w:t xml:space="preserve"> </w:t>
            </w:r>
            <w:r w:rsidR="00BD0975" w:rsidRPr="00BD0975">
              <w:rPr>
                <w:sz w:val="20"/>
                <w:szCs w:val="20"/>
                <w:lang w:val="uk-UA"/>
              </w:rPr>
              <w:t xml:space="preserve"> Стратегія управління ризиками в умовах перевезення небезпечних вантажів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A666F" w:rsidRPr="005966DD" w:rsidTr="00B35262">
        <w:trPr>
          <w:trHeight w:val="233"/>
        </w:trPr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80" w:type="pct"/>
            <w:gridSpan w:val="3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Модульний контроль знань</w:t>
            </w:r>
          </w:p>
        </w:tc>
      </w:tr>
      <w:tr w:rsidR="006A666F" w:rsidRPr="00600A49" w:rsidTr="00B35262">
        <w:trPr>
          <w:trHeight w:val="278"/>
        </w:trPr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6A666F" w:rsidRPr="009B4F6F" w:rsidRDefault="006A666F" w:rsidP="00600A49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Лекц.№9.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631A5">
              <w:rPr>
                <w:sz w:val="20"/>
                <w:szCs w:val="20"/>
              </w:rPr>
              <w:t xml:space="preserve"> </w:t>
            </w:r>
            <w:r w:rsidR="00C2415C" w:rsidRPr="00BD0975">
              <w:rPr>
                <w:sz w:val="20"/>
                <w:szCs w:val="20"/>
                <w:lang w:val="uk-UA"/>
              </w:rPr>
              <w:t xml:space="preserve"> </w:t>
            </w:r>
            <w:r w:rsidR="00600A49" w:rsidRPr="00035E3A">
              <w:rPr>
                <w:sz w:val="20"/>
                <w:szCs w:val="20"/>
                <w:lang w:val="uk-UA"/>
              </w:rPr>
              <w:t xml:space="preserve"> Застосування комплексного ризик-орієнтованого критерію  при організації перевізного процесу з НВ різних класів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6A666F" w:rsidRPr="009B4F6F" w:rsidRDefault="006A666F" w:rsidP="00600A49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ПР-</w:t>
            </w:r>
            <w:r w:rsidR="00FE32D2">
              <w:rPr>
                <w:sz w:val="20"/>
                <w:szCs w:val="20"/>
                <w:lang w:val="uk-UA"/>
              </w:rPr>
              <w:t>5</w:t>
            </w:r>
            <w:r w:rsidRPr="009B4F6F">
              <w:rPr>
                <w:sz w:val="20"/>
                <w:szCs w:val="20"/>
                <w:lang w:val="uk-UA"/>
              </w:rPr>
              <w:t xml:space="preserve"> </w:t>
            </w:r>
            <w:r w:rsidR="00600A49" w:rsidRPr="00600A49">
              <w:rPr>
                <w:lang w:val="uk-UA"/>
              </w:rPr>
              <w:t xml:space="preserve"> </w:t>
            </w:r>
            <w:hyperlink r:id="rId21" w:history="1">
              <w:r w:rsidR="00600A49" w:rsidRPr="00600A49">
                <w:rPr>
                  <w:sz w:val="20"/>
                  <w:szCs w:val="20"/>
                  <w:lang w:val="uk-UA"/>
                </w:rPr>
                <w:t>Застосування ризик-орієнтованих підходів при формуванні поїзда з небезпечними вантажами</w:t>
              </w:r>
            </w:hyperlink>
          </w:p>
        </w:tc>
      </w:tr>
      <w:tr w:rsidR="006A666F" w:rsidRPr="005966DD" w:rsidTr="00B35262"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6A666F" w:rsidRPr="009B4F6F" w:rsidRDefault="006A666F" w:rsidP="00C2415C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Лекц.№10.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035E3A" w:rsidRPr="00C55C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35E3A" w:rsidRPr="00035E3A">
              <w:rPr>
                <w:sz w:val="20"/>
                <w:szCs w:val="20"/>
                <w:lang w:val="uk-UA"/>
              </w:rPr>
              <w:t xml:space="preserve">Застосування </w:t>
            </w:r>
            <w:r w:rsidR="00600A49">
              <w:rPr>
                <w:sz w:val="20"/>
                <w:szCs w:val="20"/>
                <w:lang w:val="uk-UA"/>
              </w:rPr>
              <w:t>семіотичних систем в управлінні ризиками при перевізному процесі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A666F" w:rsidRPr="005966DD" w:rsidTr="00B35262"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6A666F" w:rsidRPr="009B4F6F" w:rsidRDefault="006A666F" w:rsidP="00CF00C3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 xml:space="preserve">Лекц.№11. </w:t>
            </w:r>
            <w:r w:rsidRPr="00CF00C3">
              <w:rPr>
                <w:sz w:val="20"/>
                <w:szCs w:val="20"/>
                <w:lang w:val="uk-UA"/>
              </w:rPr>
              <w:t xml:space="preserve"> </w:t>
            </w:r>
            <w:r w:rsidR="0005019E" w:rsidRPr="00CF00C3">
              <w:rPr>
                <w:sz w:val="20"/>
                <w:szCs w:val="20"/>
                <w:lang w:val="uk-UA"/>
              </w:rPr>
              <w:t xml:space="preserve"> Застосування семіотичних систем в управлінні ризиками</w:t>
            </w:r>
            <w:r w:rsidR="00CF00C3">
              <w:rPr>
                <w:sz w:val="20"/>
                <w:szCs w:val="20"/>
                <w:lang w:val="uk-UA"/>
              </w:rPr>
              <w:t xml:space="preserve"> при перевізному процесі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6A666F" w:rsidRPr="009B4F6F" w:rsidRDefault="006A666F" w:rsidP="00600A49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ПР-</w:t>
            </w:r>
            <w:r w:rsidR="00FE32D2">
              <w:rPr>
                <w:sz w:val="20"/>
                <w:szCs w:val="20"/>
                <w:lang w:val="uk-UA"/>
              </w:rPr>
              <w:t>6</w:t>
            </w:r>
            <w:r w:rsidRPr="009B4F6F">
              <w:rPr>
                <w:sz w:val="20"/>
                <w:szCs w:val="20"/>
                <w:lang w:val="uk-UA"/>
              </w:rPr>
              <w:t xml:space="preserve"> </w:t>
            </w:r>
            <w:r w:rsidR="00D63A48">
              <w:rPr>
                <w:sz w:val="20"/>
                <w:szCs w:val="20"/>
                <w:lang w:val="uk-UA"/>
              </w:rPr>
              <w:t xml:space="preserve"> </w:t>
            </w:r>
            <w:r w:rsidR="00600A49">
              <w:t xml:space="preserve"> </w:t>
            </w:r>
            <w:hyperlink r:id="rId22" w:history="1">
              <w:r w:rsidR="00600A49" w:rsidRPr="00600A49">
                <w:rPr>
                  <w:sz w:val="20"/>
                  <w:szCs w:val="20"/>
                  <w:lang w:val="uk-UA"/>
                </w:rPr>
                <w:t>Формування бази даних семіотичної ризик-орієнтованої системи оперативних поїзних ситуацій</w:t>
              </w:r>
            </w:hyperlink>
          </w:p>
        </w:tc>
      </w:tr>
      <w:tr w:rsidR="006A666F" w:rsidRPr="005966DD" w:rsidTr="00B35262"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6A666F" w:rsidRPr="009B4F6F" w:rsidRDefault="006A666F" w:rsidP="00E117B8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 xml:space="preserve">Лекц.№12. </w:t>
            </w:r>
            <w:r w:rsidR="00FE32D2">
              <w:rPr>
                <w:sz w:val="20"/>
                <w:szCs w:val="20"/>
                <w:lang w:val="uk-UA"/>
              </w:rPr>
              <w:t xml:space="preserve"> </w:t>
            </w:r>
            <w:r w:rsidR="00276554" w:rsidRPr="00276554">
              <w:rPr>
                <w:sz w:val="20"/>
                <w:szCs w:val="20"/>
                <w:lang w:val="uk-UA"/>
              </w:rPr>
              <w:t xml:space="preserve"> </w:t>
            </w:r>
            <w:hyperlink r:id="rId23" w:history="1">
              <w:r w:rsidR="00276554" w:rsidRPr="00276554">
                <w:rPr>
                  <w:sz w:val="20"/>
                  <w:szCs w:val="20"/>
                  <w:lang w:val="uk-UA"/>
                </w:rPr>
                <w:t>Сутність та функції страхування</w:t>
              </w:r>
            </w:hyperlink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A666F" w:rsidRPr="005966DD" w:rsidTr="00FE32D2">
        <w:trPr>
          <w:trHeight w:val="1086"/>
        </w:trPr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6A666F" w:rsidRPr="00276554" w:rsidRDefault="006A666F" w:rsidP="00276554">
            <w:pPr>
              <w:jc w:val="both"/>
              <w:rPr>
                <w:sz w:val="20"/>
                <w:szCs w:val="20"/>
                <w:lang w:val="uk-UA"/>
              </w:rPr>
            </w:pPr>
            <w:r w:rsidRPr="00276554">
              <w:rPr>
                <w:sz w:val="20"/>
                <w:szCs w:val="20"/>
                <w:lang w:val="uk-UA"/>
              </w:rPr>
              <w:t xml:space="preserve">Лекц.№13. </w:t>
            </w:r>
            <w:r w:rsidR="00276554" w:rsidRPr="00276554">
              <w:rPr>
                <w:sz w:val="20"/>
                <w:szCs w:val="20"/>
                <w:lang w:val="uk-UA"/>
              </w:rPr>
              <w:t xml:space="preserve"> Страхування вантажів. Особливості страхування вантажів у міжнародних перевезеннях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6A666F" w:rsidRPr="009B4F6F" w:rsidRDefault="006A666F" w:rsidP="00600A49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ПР-</w:t>
            </w:r>
            <w:r w:rsidR="00FE32D2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="00D63A48">
              <w:rPr>
                <w:sz w:val="20"/>
                <w:szCs w:val="20"/>
                <w:lang w:val="uk-UA"/>
              </w:rPr>
              <w:t xml:space="preserve"> </w:t>
            </w:r>
            <w:r w:rsidR="00600A49">
              <w:t xml:space="preserve"> </w:t>
            </w:r>
            <w:hyperlink r:id="rId24" w:history="1">
              <w:r w:rsidR="00600A49" w:rsidRPr="00600A49">
                <w:rPr>
                  <w:sz w:val="20"/>
                  <w:szCs w:val="20"/>
                  <w:lang w:val="uk-UA"/>
                </w:rPr>
                <w:t>Страхування, його функції. Страхування ризиків на транспорті</w:t>
              </w:r>
            </w:hyperlink>
          </w:p>
        </w:tc>
      </w:tr>
      <w:tr w:rsidR="006A666F" w:rsidRPr="005966DD" w:rsidTr="00B35262"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6A666F" w:rsidRPr="009B4F6F" w:rsidRDefault="006A666F" w:rsidP="00276554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 xml:space="preserve">Лекц.№14. </w:t>
            </w:r>
            <w:r w:rsidR="00FE32D2" w:rsidRPr="00276554">
              <w:rPr>
                <w:sz w:val="20"/>
                <w:szCs w:val="20"/>
                <w:lang w:val="uk-UA"/>
              </w:rPr>
              <w:t xml:space="preserve"> </w:t>
            </w:r>
            <w:r w:rsidR="00276554" w:rsidRPr="00276554">
              <w:rPr>
                <w:sz w:val="20"/>
                <w:szCs w:val="20"/>
                <w:lang w:val="uk-UA"/>
              </w:rPr>
              <w:t xml:space="preserve"> Страхування відповідальності залізниць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A666F" w:rsidRPr="005966DD" w:rsidTr="00B35262"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6A666F" w:rsidRPr="00276554" w:rsidRDefault="006A666F" w:rsidP="00276554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 xml:space="preserve">Лекц.№15. </w:t>
            </w:r>
            <w:r w:rsidR="00276554" w:rsidRPr="00276554">
              <w:rPr>
                <w:sz w:val="20"/>
                <w:szCs w:val="20"/>
                <w:lang w:val="uk-UA"/>
              </w:rPr>
              <w:t xml:space="preserve"> Страхування відповідальності за вантаж автомобільного, морського та авіаційного перевізника</w:t>
            </w: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6A666F" w:rsidRPr="009B4F6F" w:rsidRDefault="006A666F" w:rsidP="00D63A48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ПР-</w:t>
            </w:r>
            <w:r w:rsidR="00D63A48">
              <w:rPr>
                <w:sz w:val="20"/>
                <w:szCs w:val="20"/>
                <w:lang w:val="uk-UA"/>
              </w:rPr>
              <w:t>8</w:t>
            </w:r>
            <w:r w:rsidRPr="009B4F6F">
              <w:rPr>
                <w:sz w:val="20"/>
                <w:szCs w:val="20"/>
                <w:lang w:val="uk-UA"/>
              </w:rPr>
              <w:t xml:space="preserve"> </w:t>
            </w:r>
            <w:r w:rsidR="00D63A48">
              <w:rPr>
                <w:sz w:val="20"/>
                <w:szCs w:val="20"/>
                <w:lang w:val="uk-UA"/>
              </w:rPr>
              <w:t>Підсумкове заняття.</w:t>
            </w:r>
          </w:p>
        </w:tc>
      </w:tr>
      <w:tr w:rsidR="006A666F" w:rsidRPr="005966DD" w:rsidTr="00B35262"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vAlign w:val="center"/>
          </w:tcPr>
          <w:p w:rsidR="006A666F" w:rsidRPr="009B4F6F" w:rsidRDefault="006A666F" w:rsidP="00B352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80" w:type="pct"/>
            <w:gridSpan w:val="3"/>
            <w:vAlign w:val="center"/>
          </w:tcPr>
          <w:p w:rsidR="006A666F" w:rsidRPr="009B4F6F" w:rsidRDefault="006A666F" w:rsidP="00B3526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Модульний контроль знань</w:t>
            </w:r>
          </w:p>
        </w:tc>
      </w:tr>
    </w:tbl>
    <w:p w:rsidR="006A666F" w:rsidRDefault="006A666F" w:rsidP="0036715C">
      <w:pPr>
        <w:spacing w:line="0" w:lineRule="atLeast"/>
        <w:ind w:firstLine="709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645A43" w:rsidRDefault="00645A43" w:rsidP="0036715C">
      <w:pPr>
        <w:spacing w:line="0" w:lineRule="atLeast"/>
        <w:ind w:firstLine="709"/>
        <w:rPr>
          <w:rFonts w:ascii="Arial" w:eastAsia="Arial" w:hAnsi="Arial" w:cs="Arial"/>
          <w:b/>
          <w:color w:val="345A8A"/>
          <w:sz w:val="32"/>
          <w:szCs w:val="20"/>
        </w:rPr>
      </w:pPr>
    </w:p>
    <w:p w:rsidR="00F467D1" w:rsidRDefault="00F467D1" w:rsidP="00F467D1">
      <w:pPr>
        <w:spacing w:line="0" w:lineRule="atLeast"/>
        <w:ind w:firstLine="709"/>
        <w:jc w:val="center"/>
        <w:rPr>
          <w:rFonts w:ascii="Arial" w:eastAsia="Arial" w:hAnsi="Arial" w:cs="Arial"/>
          <w:b/>
          <w:color w:val="345A8A"/>
          <w:sz w:val="32"/>
          <w:szCs w:val="20"/>
        </w:rPr>
      </w:pPr>
      <w:r>
        <w:rPr>
          <w:rFonts w:eastAsia="Arial"/>
          <w:b/>
          <w:lang w:val="uk-UA"/>
        </w:rPr>
        <w:t>Заочна повна форма навчання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86"/>
        <w:gridCol w:w="3396"/>
        <w:gridCol w:w="486"/>
        <w:gridCol w:w="4491"/>
      </w:tblGrid>
      <w:tr w:rsidR="00F467D1" w:rsidRPr="009B4F6F" w:rsidTr="003B6C12">
        <w:trPr>
          <w:trHeight w:val="283"/>
        </w:trPr>
        <w:tc>
          <w:tcPr>
            <w:tcW w:w="260" w:type="pct"/>
            <w:vMerge w:val="restart"/>
            <w:textDirection w:val="btLr"/>
            <w:vAlign w:val="center"/>
          </w:tcPr>
          <w:p w:rsidR="00F467D1" w:rsidRPr="009B4F6F" w:rsidRDefault="00F467D1" w:rsidP="003B6C1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260" w:type="pct"/>
            <w:vMerge w:val="restart"/>
            <w:textDirection w:val="btLr"/>
            <w:vAlign w:val="center"/>
          </w:tcPr>
          <w:p w:rsidR="00F467D1" w:rsidRPr="009B4F6F" w:rsidRDefault="00F467D1" w:rsidP="003B6C1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817" w:type="pct"/>
            <w:vMerge w:val="restart"/>
            <w:vAlign w:val="center"/>
          </w:tcPr>
          <w:p w:rsidR="00F467D1" w:rsidRPr="009B4F6F" w:rsidRDefault="00F467D1" w:rsidP="003B6C12">
            <w:pPr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Тема лекції</w:t>
            </w:r>
          </w:p>
        </w:tc>
        <w:tc>
          <w:tcPr>
            <w:tcW w:w="260" w:type="pct"/>
            <w:vMerge w:val="restart"/>
            <w:textDirection w:val="btLr"/>
            <w:vAlign w:val="center"/>
          </w:tcPr>
          <w:p w:rsidR="00F467D1" w:rsidRPr="009B4F6F" w:rsidRDefault="00F467D1" w:rsidP="003B6C1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2403" w:type="pct"/>
            <w:vMerge w:val="restart"/>
            <w:vAlign w:val="center"/>
          </w:tcPr>
          <w:p w:rsidR="00F467D1" w:rsidRPr="009B4F6F" w:rsidRDefault="00F467D1" w:rsidP="003B6C12">
            <w:pPr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Тема практичних, семінарських та лабораторних занять</w:t>
            </w:r>
          </w:p>
        </w:tc>
      </w:tr>
      <w:tr w:rsidR="00F467D1" w:rsidRPr="009B4F6F" w:rsidTr="003B6C12">
        <w:trPr>
          <w:trHeight w:val="276"/>
        </w:trPr>
        <w:tc>
          <w:tcPr>
            <w:tcW w:w="260" w:type="pct"/>
            <w:vMerge/>
            <w:vAlign w:val="center"/>
          </w:tcPr>
          <w:p w:rsidR="00F467D1" w:rsidRPr="009B4F6F" w:rsidRDefault="00F467D1" w:rsidP="003B6C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vMerge/>
            <w:vAlign w:val="center"/>
          </w:tcPr>
          <w:p w:rsidR="00F467D1" w:rsidRPr="009B4F6F" w:rsidRDefault="00F467D1" w:rsidP="003B6C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7" w:type="pct"/>
            <w:vMerge/>
            <w:vAlign w:val="center"/>
          </w:tcPr>
          <w:p w:rsidR="00F467D1" w:rsidRPr="009B4F6F" w:rsidRDefault="00F467D1" w:rsidP="003B6C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vMerge/>
            <w:vAlign w:val="center"/>
          </w:tcPr>
          <w:p w:rsidR="00F467D1" w:rsidRPr="009B4F6F" w:rsidRDefault="00F467D1" w:rsidP="003B6C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3" w:type="pct"/>
            <w:vMerge/>
            <w:vAlign w:val="center"/>
          </w:tcPr>
          <w:p w:rsidR="00F467D1" w:rsidRPr="009B4F6F" w:rsidRDefault="00F467D1" w:rsidP="003B6C12">
            <w:pPr>
              <w:rPr>
                <w:sz w:val="20"/>
                <w:szCs w:val="20"/>
                <w:lang w:val="uk-UA"/>
              </w:rPr>
            </w:pPr>
          </w:p>
        </w:tc>
      </w:tr>
      <w:tr w:rsidR="00F467D1" w:rsidRPr="005966DD" w:rsidTr="003B6C12">
        <w:trPr>
          <w:trHeight w:val="761"/>
        </w:trPr>
        <w:tc>
          <w:tcPr>
            <w:tcW w:w="260" w:type="pct"/>
            <w:vMerge/>
            <w:vAlign w:val="center"/>
          </w:tcPr>
          <w:p w:rsidR="00F467D1" w:rsidRPr="005966DD" w:rsidRDefault="00F467D1" w:rsidP="003B6C12">
            <w:pPr>
              <w:jc w:val="center"/>
              <w:rPr>
                <w:lang w:val="uk-UA"/>
              </w:rPr>
            </w:pPr>
          </w:p>
        </w:tc>
        <w:tc>
          <w:tcPr>
            <w:tcW w:w="260" w:type="pct"/>
            <w:vMerge/>
            <w:vAlign w:val="center"/>
          </w:tcPr>
          <w:p w:rsidR="00F467D1" w:rsidRPr="005966DD" w:rsidRDefault="00F467D1" w:rsidP="003B6C12">
            <w:pPr>
              <w:jc w:val="center"/>
              <w:rPr>
                <w:lang w:val="uk-UA"/>
              </w:rPr>
            </w:pPr>
          </w:p>
        </w:tc>
        <w:tc>
          <w:tcPr>
            <w:tcW w:w="1817" w:type="pct"/>
            <w:vMerge/>
            <w:vAlign w:val="center"/>
          </w:tcPr>
          <w:p w:rsidR="00F467D1" w:rsidRPr="005966DD" w:rsidRDefault="00F467D1" w:rsidP="003B6C12">
            <w:pPr>
              <w:rPr>
                <w:lang w:val="uk-UA"/>
              </w:rPr>
            </w:pPr>
          </w:p>
        </w:tc>
        <w:tc>
          <w:tcPr>
            <w:tcW w:w="260" w:type="pct"/>
            <w:vMerge/>
            <w:vAlign w:val="center"/>
          </w:tcPr>
          <w:p w:rsidR="00F467D1" w:rsidRPr="005966DD" w:rsidRDefault="00F467D1" w:rsidP="003B6C12">
            <w:pPr>
              <w:jc w:val="center"/>
              <w:rPr>
                <w:lang w:val="uk-UA"/>
              </w:rPr>
            </w:pPr>
          </w:p>
        </w:tc>
        <w:tc>
          <w:tcPr>
            <w:tcW w:w="2403" w:type="pct"/>
            <w:vMerge/>
            <w:vAlign w:val="center"/>
          </w:tcPr>
          <w:p w:rsidR="00F467D1" w:rsidRPr="005966DD" w:rsidRDefault="00F467D1" w:rsidP="003B6C12">
            <w:pPr>
              <w:rPr>
                <w:lang w:val="uk-UA"/>
              </w:rPr>
            </w:pPr>
          </w:p>
        </w:tc>
      </w:tr>
      <w:tr w:rsidR="00F467D1" w:rsidRPr="00602CFA" w:rsidTr="003B6C12">
        <w:trPr>
          <w:trHeight w:val="627"/>
        </w:trPr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F467D1" w:rsidRPr="009B4F6F" w:rsidRDefault="00F467D1" w:rsidP="00602CFA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 xml:space="preserve">Лекц.№1. </w:t>
            </w:r>
            <w:r w:rsidR="00602CFA" w:rsidRPr="0031141F">
              <w:rPr>
                <w:sz w:val="20"/>
                <w:szCs w:val="20"/>
                <w:lang w:val="uk-UA"/>
              </w:rPr>
              <w:t xml:space="preserve"> </w:t>
            </w:r>
            <w:r w:rsidR="00602CFA" w:rsidRPr="0031141F">
              <w:rPr>
                <w:sz w:val="20"/>
                <w:szCs w:val="20"/>
                <w:lang w:val="uk-UA"/>
              </w:rPr>
              <w:t>Сутність дисципліни «Ризик-орієнтовані технології перевезень», поняття та зміст ризику, його функції</w:t>
            </w:r>
            <w:r w:rsidR="00602CFA">
              <w:rPr>
                <w:sz w:val="20"/>
                <w:szCs w:val="20"/>
                <w:lang w:val="uk-UA"/>
              </w:rPr>
              <w:t xml:space="preserve">. </w:t>
            </w:r>
            <w:r w:rsidR="00602CFA" w:rsidRPr="0031141F">
              <w:rPr>
                <w:sz w:val="20"/>
                <w:szCs w:val="20"/>
                <w:lang w:val="uk-UA"/>
              </w:rPr>
              <w:t xml:space="preserve"> </w:t>
            </w:r>
            <w:r w:rsidR="00602CFA" w:rsidRPr="0031141F">
              <w:rPr>
                <w:sz w:val="20"/>
                <w:szCs w:val="20"/>
                <w:lang w:val="uk-UA"/>
              </w:rPr>
              <w:t>Нормативно-правове регулювання ризиків та їх прийнятних рівнів</w:t>
            </w:r>
            <w:r w:rsidR="00602CFA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F467D1" w:rsidRPr="009B4F6F" w:rsidRDefault="00F467D1" w:rsidP="003B6C1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ПР-1 Основні поняття</w:t>
            </w:r>
            <w:r>
              <w:rPr>
                <w:sz w:val="20"/>
                <w:szCs w:val="20"/>
                <w:lang w:val="uk-UA"/>
              </w:rPr>
              <w:t xml:space="preserve"> ризиків їх класифікація та функції</w:t>
            </w:r>
            <w:r w:rsidRPr="009B4F6F">
              <w:rPr>
                <w:sz w:val="20"/>
                <w:szCs w:val="20"/>
                <w:lang w:val="uk-UA"/>
              </w:rPr>
              <w:t xml:space="preserve">. </w:t>
            </w:r>
          </w:p>
        </w:tc>
      </w:tr>
      <w:tr w:rsidR="00F467D1" w:rsidRPr="00602CFA" w:rsidTr="003B6C12">
        <w:trPr>
          <w:trHeight w:val="551"/>
        </w:trPr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F467D1" w:rsidRPr="009B4F6F" w:rsidRDefault="00602CFA" w:rsidP="00602C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Лекц.№2. </w:t>
            </w:r>
            <w:r w:rsidRPr="0031141F">
              <w:rPr>
                <w:sz w:val="20"/>
                <w:szCs w:val="20"/>
                <w:lang w:val="uk-UA"/>
              </w:rPr>
              <w:t xml:space="preserve"> </w:t>
            </w:r>
            <w:r w:rsidRPr="0031141F">
              <w:rPr>
                <w:sz w:val="20"/>
                <w:szCs w:val="20"/>
                <w:lang w:val="uk-UA"/>
              </w:rPr>
              <w:t>Процес управління ризиками на залізничному транспорті</w:t>
            </w:r>
            <w:r>
              <w:rPr>
                <w:sz w:val="20"/>
                <w:szCs w:val="20"/>
                <w:lang w:val="uk-UA"/>
              </w:rPr>
              <w:t xml:space="preserve">.  </w:t>
            </w:r>
            <w:r>
              <w:rPr>
                <w:sz w:val="20"/>
                <w:szCs w:val="20"/>
                <w:lang w:val="uk-UA"/>
              </w:rPr>
              <w:t>Класифікація ризиків при перевізному процесі</w:t>
            </w:r>
            <w:r>
              <w:rPr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F467D1" w:rsidRPr="009B4F6F" w:rsidRDefault="00F467D1" w:rsidP="003B6C1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467D1" w:rsidRPr="009B4F6F" w:rsidTr="003B6C12">
        <w:trPr>
          <w:trHeight w:val="544"/>
        </w:trPr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</w:tcPr>
          <w:p w:rsidR="00F467D1" w:rsidRPr="009B4F6F" w:rsidRDefault="00F467D1" w:rsidP="00602C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Лекц.№3.</w:t>
            </w:r>
            <w:r w:rsidRPr="005D2246">
              <w:rPr>
                <w:sz w:val="20"/>
                <w:szCs w:val="20"/>
                <w:lang w:val="uk-UA"/>
              </w:rPr>
              <w:t xml:space="preserve"> </w:t>
            </w:r>
            <w:r w:rsidRPr="00554A6C">
              <w:rPr>
                <w:sz w:val="20"/>
                <w:szCs w:val="20"/>
                <w:lang w:val="uk-UA"/>
              </w:rPr>
              <w:t xml:space="preserve"> </w:t>
            </w:r>
            <w:r w:rsidR="00602CFA" w:rsidRPr="00BD0975">
              <w:rPr>
                <w:sz w:val="20"/>
                <w:szCs w:val="20"/>
                <w:lang w:val="uk-UA"/>
              </w:rPr>
              <w:t xml:space="preserve"> </w:t>
            </w:r>
            <w:r w:rsidR="00602CFA">
              <w:rPr>
                <w:sz w:val="20"/>
                <w:szCs w:val="20"/>
                <w:lang w:val="uk-UA"/>
              </w:rPr>
              <w:t xml:space="preserve"> </w:t>
            </w:r>
            <w:r w:rsidR="00602CFA">
              <w:rPr>
                <w:sz w:val="20"/>
                <w:szCs w:val="20"/>
                <w:lang w:val="uk-UA"/>
              </w:rPr>
              <w:t>Методи оцінки ризиків, кількісні та якісні методи</w:t>
            </w:r>
          </w:p>
        </w:tc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F467D1" w:rsidRPr="009B4F6F" w:rsidRDefault="00F467D1" w:rsidP="003B6C1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ПР-2</w:t>
            </w:r>
            <w:r w:rsidRPr="009B4F6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Визначення та ідентифікація ризиків при організації перевізного процесу. </w:t>
            </w:r>
          </w:p>
        </w:tc>
      </w:tr>
      <w:tr w:rsidR="00F467D1" w:rsidRPr="009B4F6F" w:rsidTr="003B6C12"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F467D1" w:rsidRPr="00554D91" w:rsidRDefault="00F467D1" w:rsidP="00602C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631A5">
              <w:rPr>
                <w:sz w:val="20"/>
                <w:szCs w:val="20"/>
                <w:lang w:val="uk-UA"/>
              </w:rPr>
              <w:t>Лекц.№4.</w:t>
            </w:r>
            <w:r w:rsidR="00602CFA">
              <w:rPr>
                <w:sz w:val="20"/>
                <w:szCs w:val="20"/>
                <w:lang w:val="uk-UA"/>
              </w:rPr>
              <w:t xml:space="preserve"> </w:t>
            </w:r>
            <w:r w:rsidR="00602CFA" w:rsidRPr="00BD0975">
              <w:rPr>
                <w:sz w:val="20"/>
                <w:szCs w:val="20"/>
                <w:lang w:val="uk-UA"/>
              </w:rPr>
              <w:t xml:space="preserve"> </w:t>
            </w:r>
            <w:r w:rsidR="00602CFA" w:rsidRPr="00BD0975">
              <w:rPr>
                <w:sz w:val="20"/>
                <w:szCs w:val="20"/>
                <w:lang w:val="uk-UA"/>
              </w:rPr>
              <w:t>Стратегія управління ризиками в умовах перевезення небезпечних вантажів</w:t>
            </w:r>
            <w:r w:rsidR="00602CFA">
              <w:rPr>
                <w:sz w:val="20"/>
                <w:szCs w:val="20"/>
                <w:lang w:val="uk-UA"/>
              </w:rPr>
              <w:t xml:space="preserve">. </w:t>
            </w:r>
            <w:r w:rsidR="00602CFA">
              <w:rPr>
                <w:sz w:val="20"/>
                <w:szCs w:val="20"/>
                <w:lang w:val="uk-UA"/>
              </w:rPr>
              <w:t xml:space="preserve"> </w:t>
            </w:r>
            <w:r w:rsidRPr="00BD0975">
              <w:rPr>
                <w:sz w:val="20"/>
                <w:szCs w:val="20"/>
                <w:lang w:val="uk-UA"/>
              </w:rPr>
              <w:t xml:space="preserve"> </w:t>
            </w:r>
            <w:r w:rsidR="00602CFA" w:rsidRPr="00035E3A">
              <w:rPr>
                <w:sz w:val="20"/>
                <w:szCs w:val="20"/>
                <w:lang w:val="uk-UA"/>
              </w:rPr>
              <w:t xml:space="preserve"> </w:t>
            </w:r>
            <w:r w:rsidR="00602CFA" w:rsidRPr="00035E3A">
              <w:rPr>
                <w:sz w:val="20"/>
                <w:szCs w:val="20"/>
                <w:lang w:val="uk-UA"/>
              </w:rPr>
              <w:lastRenderedPageBreak/>
              <w:t>Застосування комплексного ризик-орієнтованого критерію  при організації перевізного процесу з НВ різних класів</w:t>
            </w:r>
          </w:p>
        </w:tc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403" w:type="pct"/>
            <w:vAlign w:val="center"/>
          </w:tcPr>
          <w:p w:rsidR="00F467D1" w:rsidRPr="009B4F6F" w:rsidRDefault="00F467D1" w:rsidP="003B6C1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467D1" w:rsidRPr="009B4F6F" w:rsidTr="003B6C12"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F467D1" w:rsidRPr="00554D91" w:rsidRDefault="00F467D1" w:rsidP="00602CFA">
            <w:pPr>
              <w:pStyle w:val="Default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6F2DF7">
              <w:rPr>
                <w:color w:val="auto"/>
                <w:sz w:val="20"/>
                <w:szCs w:val="20"/>
                <w:lang w:val="uk-UA" w:eastAsia="ru-RU"/>
              </w:rPr>
              <w:t>Лекц.№5.</w:t>
            </w:r>
            <w:r>
              <w:rPr>
                <w:color w:val="auto"/>
                <w:sz w:val="20"/>
                <w:szCs w:val="20"/>
                <w:lang w:val="uk-UA" w:eastAsia="ru-RU"/>
              </w:rPr>
              <w:t xml:space="preserve"> </w:t>
            </w:r>
            <w:r w:rsidRPr="00035E3A">
              <w:rPr>
                <w:sz w:val="20"/>
                <w:szCs w:val="20"/>
                <w:lang w:val="uk-UA"/>
              </w:rPr>
              <w:t xml:space="preserve"> </w:t>
            </w:r>
            <w:r w:rsidR="00602CFA" w:rsidRPr="00CF00C3">
              <w:rPr>
                <w:sz w:val="20"/>
                <w:szCs w:val="20"/>
                <w:lang w:val="uk-UA"/>
              </w:rPr>
              <w:t xml:space="preserve"> </w:t>
            </w:r>
            <w:r w:rsidR="00602CFA" w:rsidRPr="00CF00C3">
              <w:rPr>
                <w:sz w:val="20"/>
                <w:szCs w:val="20"/>
                <w:lang w:val="uk-UA"/>
              </w:rPr>
              <w:t>Застосування семіотичних систем в управлінні ризиками</w:t>
            </w:r>
            <w:r w:rsidR="00602CFA">
              <w:rPr>
                <w:sz w:val="20"/>
                <w:szCs w:val="20"/>
                <w:lang w:val="uk-UA"/>
              </w:rPr>
              <w:t xml:space="preserve"> при перевізному процесі</w:t>
            </w:r>
          </w:p>
        </w:tc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F467D1" w:rsidRPr="009B4F6F" w:rsidRDefault="00F467D1" w:rsidP="003B6C1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ПР-3</w:t>
            </w:r>
            <w:r w:rsidRPr="009B4F6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Визначення ефективних методів оцінки ризиків під час перевізного процесу.</w:t>
            </w:r>
          </w:p>
        </w:tc>
      </w:tr>
      <w:tr w:rsidR="00F467D1" w:rsidRPr="00602CFA" w:rsidTr="003B6C12">
        <w:trPr>
          <w:trHeight w:val="725"/>
        </w:trPr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center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pct"/>
            <w:vAlign w:val="center"/>
          </w:tcPr>
          <w:p w:rsidR="00F467D1" w:rsidRPr="009B4F6F" w:rsidRDefault="00F467D1" w:rsidP="00602CFA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 xml:space="preserve">Лекц.№6. </w:t>
            </w:r>
            <w:hyperlink r:id="rId25" w:history="1">
              <w:r w:rsidR="00602CFA" w:rsidRPr="00276554">
                <w:rPr>
                  <w:sz w:val="20"/>
                  <w:szCs w:val="20"/>
                  <w:lang w:val="uk-UA"/>
                </w:rPr>
                <w:t>Сутність та функції страхування</w:t>
              </w:r>
            </w:hyperlink>
            <w:r w:rsidR="00602CFA">
              <w:rPr>
                <w:sz w:val="20"/>
                <w:szCs w:val="20"/>
                <w:lang w:val="uk-UA"/>
              </w:rPr>
              <w:t xml:space="preserve">. </w:t>
            </w:r>
            <w:r w:rsidR="00602CFA" w:rsidRPr="00276554">
              <w:rPr>
                <w:sz w:val="20"/>
                <w:szCs w:val="20"/>
                <w:lang w:val="uk-UA"/>
              </w:rPr>
              <w:t xml:space="preserve"> </w:t>
            </w:r>
            <w:r w:rsidR="00602CFA" w:rsidRPr="00276554">
              <w:rPr>
                <w:sz w:val="20"/>
                <w:szCs w:val="20"/>
                <w:lang w:val="uk-UA"/>
              </w:rPr>
              <w:t>Страхування вантажів. Особливості страхування вантажів у міжнародних перевезеннях</w:t>
            </w:r>
            <w:r w:rsidR="00602CFA">
              <w:rPr>
                <w:sz w:val="20"/>
                <w:szCs w:val="20"/>
                <w:lang w:val="uk-UA"/>
              </w:rPr>
              <w:t xml:space="preserve">. </w:t>
            </w:r>
            <w:r w:rsidR="00602CFA" w:rsidRPr="00276554">
              <w:rPr>
                <w:sz w:val="20"/>
                <w:szCs w:val="20"/>
                <w:lang w:val="uk-UA"/>
              </w:rPr>
              <w:t xml:space="preserve"> </w:t>
            </w:r>
            <w:r w:rsidR="00602CFA" w:rsidRPr="00276554">
              <w:rPr>
                <w:sz w:val="20"/>
                <w:szCs w:val="20"/>
                <w:lang w:val="uk-UA"/>
              </w:rPr>
              <w:t>Страхування відповідальності залізниць</w:t>
            </w:r>
            <w:r w:rsidR="00602CFA">
              <w:rPr>
                <w:sz w:val="20"/>
                <w:szCs w:val="20"/>
                <w:lang w:val="uk-UA"/>
              </w:rPr>
              <w:t xml:space="preserve">. </w:t>
            </w:r>
            <w:r w:rsidR="00602CFA" w:rsidRPr="00276554">
              <w:rPr>
                <w:sz w:val="20"/>
                <w:szCs w:val="20"/>
                <w:lang w:val="uk-UA"/>
              </w:rPr>
              <w:t xml:space="preserve"> </w:t>
            </w:r>
            <w:r w:rsidR="00602CFA" w:rsidRPr="00276554">
              <w:rPr>
                <w:sz w:val="20"/>
                <w:szCs w:val="20"/>
                <w:lang w:val="uk-UA"/>
              </w:rPr>
              <w:t>Страхування відповідальності за вантаж автомобільного, морського та авіаційного перевізника</w:t>
            </w:r>
          </w:p>
        </w:tc>
        <w:tc>
          <w:tcPr>
            <w:tcW w:w="260" w:type="pct"/>
            <w:vAlign w:val="center"/>
          </w:tcPr>
          <w:p w:rsidR="00F467D1" w:rsidRPr="009B4F6F" w:rsidRDefault="00F467D1" w:rsidP="003B6C12">
            <w:pPr>
              <w:jc w:val="both"/>
              <w:rPr>
                <w:sz w:val="20"/>
                <w:szCs w:val="20"/>
                <w:lang w:val="uk-UA"/>
              </w:rPr>
            </w:pPr>
            <w:r w:rsidRPr="009B4F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pct"/>
            <w:vAlign w:val="center"/>
          </w:tcPr>
          <w:p w:rsidR="00F467D1" w:rsidRPr="009B4F6F" w:rsidRDefault="00DC5A41" w:rsidP="003B6C1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ПР-4 Страхування вантажів.</w:t>
            </w:r>
          </w:p>
        </w:tc>
      </w:tr>
    </w:tbl>
    <w:p w:rsidR="006165DE" w:rsidRPr="00602CFA" w:rsidRDefault="006165DE" w:rsidP="0036715C">
      <w:pPr>
        <w:spacing w:line="0" w:lineRule="atLeast"/>
        <w:ind w:firstLine="709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</w:p>
    <w:p w:rsidR="0036715C" w:rsidRPr="00A318AA" w:rsidRDefault="0036715C" w:rsidP="0036715C">
      <w:pPr>
        <w:spacing w:line="0" w:lineRule="atLeast"/>
        <w:ind w:firstLine="709"/>
        <w:rPr>
          <w:rFonts w:ascii="Arial" w:eastAsia="Arial" w:hAnsi="Arial" w:cs="Arial"/>
          <w:b/>
          <w:color w:val="345A8A"/>
          <w:sz w:val="32"/>
          <w:szCs w:val="20"/>
          <w:lang w:val="uk-UA"/>
        </w:rPr>
      </w:pPr>
      <w:r w:rsidRPr="00A318AA">
        <w:rPr>
          <w:rFonts w:ascii="Arial" w:eastAsia="Arial" w:hAnsi="Arial" w:cs="Arial"/>
          <w:b/>
          <w:color w:val="345A8A"/>
          <w:sz w:val="32"/>
          <w:szCs w:val="20"/>
          <w:lang w:val="uk-UA"/>
        </w:rPr>
        <w:t>Правила оцінювання</w:t>
      </w:r>
    </w:p>
    <w:p w:rsidR="0036715C" w:rsidRDefault="0036715C" w:rsidP="0036715C">
      <w:pPr>
        <w:ind w:firstLine="709"/>
        <w:jc w:val="both"/>
        <w:rPr>
          <w:szCs w:val="28"/>
          <w:lang w:val="uk-UA"/>
        </w:rPr>
      </w:pPr>
    </w:p>
    <w:p w:rsidR="0036715C" w:rsidRPr="008B23A4" w:rsidRDefault="0036715C" w:rsidP="0036715C">
      <w:pPr>
        <w:ind w:firstLine="709"/>
        <w:jc w:val="both"/>
        <w:rPr>
          <w:szCs w:val="28"/>
          <w:lang w:val="uk-UA"/>
        </w:rPr>
      </w:pPr>
    </w:p>
    <w:p w:rsidR="0036715C" w:rsidRPr="00EF5FB2" w:rsidRDefault="0036715C" w:rsidP="0036715C">
      <w:pPr>
        <w:ind w:firstLine="709"/>
        <w:jc w:val="both"/>
        <w:rPr>
          <w:szCs w:val="28"/>
          <w:lang w:val="uk-UA"/>
        </w:rPr>
      </w:pPr>
      <w:r w:rsidRPr="00FD4E3F">
        <w:rPr>
          <w:szCs w:val="28"/>
          <w:lang w:val="uk-UA"/>
        </w:rPr>
        <w:t>Згідно з Положенням про впровадження кредитно-модульної</w:t>
      </w:r>
      <w:r w:rsidRPr="00EF5FB2">
        <w:rPr>
          <w:szCs w:val="28"/>
          <w:lang w:val="uk-UA"/>
        </w:rPr>
        <w:t xml:space="preserve"> системи організації навчального процесу використовується 100-бальна шкала оцінювання.</w:t>
      </w:r>
    </w:p>
    <w:p w:rsidR="0036715C" w:rsidRDefault="0036715C" w:rsidP="0036715C">
      <w:pPr>
        <w:ind w:firstLine="709"/>
        <w:jc w:val="both"/>
        <w:rPr>
          <w:szCs w:val="28"/>
          <w:lang w:val="uk-UA"/>
        </w:rPr>
      </w:pPr>
      <w:r w:rsidRPr="00103B97">
        <w:rPr>
          <w:szCs w:val="28"/>
          <w:lang w:val="uk-UA"/>
        </w:rPr>
        <w:t xml:space="preserve">При заповненні </w:t>
      </w:r>
      <w:proofErr w:type="spellStart"/>
      <w:r w:rsidRPr="00103B97">
        <w:rPr>
          <w:szCs w:val="28"/>
          <w:lang w:val="uk-UA"/>
        </w:rPr>
        <w:t>заліково</w:t>
      </w:r>
      <w:proofErr w:type="spellEnd"/>
      <w:r w:rsidRPr="00103B97">
        <w:rPr>
          <w:szCs w:val="28"/>
          <w:lang w:val="uk-UA"/>
        </w:rPr>
        <w:t>-екзаменаційної відомості та залікової книжки (індивідуального навчального плану) студента, оцінка, виставлена за 100-бальною шкалою, повинна бути переведена до державної шкали (5, 4, 3,) та шкали ECTS (А, В, С, D, Е)</w:t>
      </w:r>
      <w:r>
        <w:rPr>
          <w:szCs w:val="28"/>
          <w:lang w:val="uk-UA"/>
        </w:rPr>
        <w:t>.</w:t>
      </w:r>
    </w:p>
    <w:p w:rsidR="0036715C" w:rsidRDefault="0036715C" w:rsidP="0036715C">
      <w:pPr>
        <w:ind w:firstLine="709"/>
        <w:jc w:val="both"/>
        <w:rPr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4359"/>
        <w:gridCol w:w="1348"/>
        <w:gridCol w:w="1217"/>
      </w:tblGrid>
      <w:tr w:rsidR="0036715C" w:rsidRPr="00103B97" w:rsidTr="00B35262">
        <w:tc>
          <w:tcPr>
            <w:tcW w:w="1296" w:type="pct"/>
            <w:vAlign w:val="center"/>
          </w:tcPr>
          <w:p w:rsidR="0036715C" w:rsidRPr="00103B97" w:rsidRDefault="0036715C" w:rsidP="00B35262">
            <w:pPr>
              <w:jc w:val="center"/>
              <w:rPr>
                <w:b/>
                <w:lang w:val="uk-UA"/>
              </w:rPr>
            </w:pPr>
            <w:r w:rsidRPr="00103B97">
              <w:rPr>
                <w:b/>
                <w:lang w:val="uk-UA"/>
              </w:rPr>
              <w:t>Визначення назви за державною шкалою(оцінка)</w:t>
            </w:r>
          </w:p>
        </w:tc>
        <w:tc>
          <w:tcPr>
            <w:tcW w:w="2332" w:type="pct"/>
            <w:vAlign w:val="center"/>
          </w:tcPr>
          <w:p w:rsidR="0036715C" w:rsidRPr="00103B97" w:rsidRDefault="0036715C" w:rsidP="00B35262">
            <w:pPr>
              <w:jc w:val="center"/>
              <w:rPr>
                <w:b/>
                <w:lang w:val="uk-UA"/>
              </w:rPr>
            </w:pPr>
            <w:r w:rsidRPr="00103B97">
              <w:rPr>
                <w:b/>
                <w:lang w:val="uk-UA"/>
              </w:rPr>
              <w:t>Визначення назви за шкалою ECTS</w:t>
            </w:r>
          </w:p>
        </w:tc>
        <w:tc>
          <w:tcPr>
            <w:tcW w:w="721" w:type="pct"/>
            <w:vAlign w:val="center"/>
          </w:tcPr>
          <w:p w:rsidR="0036715C" w:rsidRPr="00103B97" w:rsidRDefault="0036715C" w:rsidP="00B35262">
            <w:pPr>
              <w:tabs>
                <w:tab w:val="center" w:pos="612"/>
              </w:tabs>
              <w:jc w:val="center"/>
              <w:rPr>
                <w:b/>
                <w:lang w:val="uk-UA"/>
              </w:rPr>
            </w:pPr>
            <w:r w:rsidRPr="00103B97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651" w:type="pct"/>
            <w:vAlign w:val="center"/>
          </w:tcPr>
          <w:p w:rsidR="0036715C" w:rsidRPr="00103B97" w:rsidRDefault="0036715C" w:rsidP="00B35262">
            <w:pPr>
              <w:ind w:left="-471"/>
              <w:jc w:val="center"/>
              <w:rPr>
                <w:b/>
                <w:lang w:val="uk-UA"/>
              </w:rPr>
            </w:pPr>
            <w:r w:rsidRPr="00103B97">
              <w:rPr>
                <w:b/>
                <w:lang w:val="uk-UA"/>
              </w:rPr>
              <w:t>ECTS</w:t>
            </w:r>
          </w:p>
          <w:p w:rsidR="0036715C" w:rsidRPr="00103B97" w:rsidRDefault="0036715C" w:rsidP="00B35262">
            <w:pPr>
              <w:ind w:left="-471"/>
              <w:jc w:val="center"/>
              <w:rPr>
                <w:b/>
                <w:lang w:val="uk-UA"/>
              </w:rPr>
            </w:pPr>
            <w:r w:rsidRPr="00103B97">
              <w:rPr>
                <w:b/>
                <w:lang w:val="uk-UA"/>
              </w:rPr>
              <w:t>оцінка</w:t>
            </w:r>
          </w:p>
        </w:tc>
      </w:tr>
      <w:tr w:rsidR="0036715C" w:rsidRPr="00103B97" w:rsidTr="00B35262">
        <w:tc>
          <w:tcPr>
            <w:tcW w:w="1296" w:type="pct"/>
            <w:vAlign w:val="center"/>
          </w:tcPr>
          <w:p w:rsidR="0036715C" w:rsidRPr="00103B97" w:rsidRDefault="0036715C" w:rsidP="00B35262">
            <w:pPr>
              <w:jc w:val="center"/>
              <w:rPr>
                <w:b/>
                <w:lang w:val="uk-UA"/>
              </w:rPr>
            </w:pPr>
            <w:r w:rsidRPr="00103B97">
              <w:rPr>
                <w:b/>
                <w:lang w:val="uk-UA"/>
              </w:rPr>
              <w:t>ВІДМІННО – 5</w:t>
            </w:r>
          </w:p>
        </w:tc>
        <w:tc>
          <w:tcPr>
            <w:tcW w:w="2332" w:type="pct"/>
          </w:tcPr>
          <w:p w:rsidR="0036715C" w:rsidRPr="00103B97" w:rsidRDefault="0036715C" w:rsidP="00B35262">
            <w:pPr>
              <w:rPr>
                <w:lang w:val="uk-UA"/>
              </w:rPr>
            </w:pPr>
            <w:r w:rsidRPr="00103B97">
              <w:rPr>
                <w:b/>
                <w:u w:val="single"/>
                <w:lang w:val="uk-UA"/>
              </w:rPr>
              <w:t xml:space="preserve">Відмінно </w:t>
            </w:r>
            <w:r w:rsidRPr="00103B97">
              <w:rPr>
                <w:lang w:val="uk-UA"/>
              </w:rPr>
              <w:t>– відмінне виконання лише з незначною кількістю помилок</w:t>
            </w:r>
          </w:p>
        </w:tc>
        <w:tc>
          <w:tcPr>
            <w:tcW w:w="721" w:type="pct"/>
            <w:vAlign w:val="center"/>
          </w:tcPr>
          <w:p w:rsidR="0036715C" w:rsidRPr="00103B97" w:rsidRDefault="0036715C" w:rsidP="00B35262">
            <w:pPr>
              <w:ind w:left="-346"/>
              <w:jc w:val="center"/>
              <w:rPr>
                <w:lang w:val="uk-UA"/>
              </w:rPr>
            </w:pPr>
            <w:r w:rsidRPr="00103B97">
              <w:rPr>
                <w:lang w:val="uk-UA"/>
              </w:rPr>
              <w:t>90-100</w:t>
            </w:r>
          </w:p>
        </w:tc>
        <w:tc>
          <w:tcPr>
            <w:tcW w:w="651" w:type="pct"/>
            <w:vAlign w:val="center"/>
          </w:tcPr>
          <w:p w:rsidR="0036715C" w:rsidRPr="00103B97" w:rsidRDefault="0036715C" w:rsidP="00B35262">
            <w:pPr>
              <w:ind w:left="-471"/>
              <w:jc w:val="center"/>
              <w:rPr>
                <w:lang w:val="uk-UA"/>
              </w:rPr>
            </w:pPr>
            <w:r w:rsidRPr="00103B97">
              <w:rPr>
                <w:lang w:val="uk-UA"/>
              </w:rPr>
              <w:t>A</w:t>
            </w:r>
          </w:p>
        </w:tc>
      </w:tr>
      <w:tr w:rsidR="0036715C" w:rsidRPr="00103B97" w:rsidTr="00B35262">
        <w:trPr>
          <w:cantSplit/>
          <w:trHeight w:val="70"/>
        </w:trPr>
        <w:tc>
          <w:tcPr>
            <w:tcW w:w="1296" w:type="pct"/>
            <w:vMerge w:val="restart"/>
            <w:vAlign w:val="center"/>
          </w:tcPr>
          <w:p w:rsidR="0036715C" w:rsidRPr="00103B97" w:rsidRDefault="0036715C" w:rsidP="00B35262">
            <w:pPr>
              <w:jc w:val="center"/>
              <w:rPr>
                <w:b/>
                <w:lang w:val="uk-UA"/>
              </w:rPr>
            </w:pPr>
            <w:r w:rsidRPr="00103B97">
              <w:rPr>
                <w:b/>
                <w:lang w:val="uk-UA"/>
              </w:rPr>
              <w:t>ДОБРЕ – 4</w:t>
            </w:r>
          </w:p>
        </w:tc>
        <w:tc>
          <w:tcPr>
            <w:tcW w:w="2332" w:type="pct"/>
          </w:tcPr>
          <w:p w:rsidR="0036715C" w:rsidRPr="00103B97" w:rsidRDefault="0036715C" w:rsidP="00B35262">
            <w:pPr>
              <w:rPr>
                <w:lang w:val="uk-UA"/>
              </w:rPr>
            </w:pPr>
            <w:r w:rsidRPr="00103B97">
              <w:rPr>
                <w:b/>
                <w:u w:val="single"/>
                <w:lang w:val="uk-UA"/>
              </w:rPr>
              <w:t>Дуже добре</w:t>
            </w:r>
            <w:r w:rsidRPr="00103B97">
              <w:rPr>
                <w:lang w:val="uk-UA"/>
              </w:rPr>
              <w:t xml:space="preserve"> – вище середнього рівня з кількома помилками</w:t>
            </w:r>
          </w:p>
        </w:tc>
        <w:tc>
          <w:tcPr>
            <w:tcW w:w="721" w:type="pct"/>
            <w:vAlign w:val="center"/>
          </w:tcPr>
          <w:p w:rsidR="0036715C" w:rsidRPr="00103B97" w:rsidRDefault="0036715C" w:rsidP="00B35262">
            <w:pPr>
              <w:ind w:left="-346"/>
              <w:jc w:val="center"/>
              <w:rPr>
                <w:lang w:val="uk-UA"/>
              </w:rPr>
            </w:pPr>
            <w:r w:rsidRPr="00103B97">
              <w:rPr>
                <w:lang w:val="uk-UA"/>
              </w:rPr>
              <w:t>82-89</w:t>
            </w:r>
          </w:p>
        </w:tc>
        <w:tc>
          <w:tcPr>
            <w:tcW w:w="651" w:type="pct"/>
            <w:vAlign w:val="center"/>
          </w:tcPr>
          <w:p w:rsidR="0036715C" w:rsidRPr="00103B97" w:rsidRDefault="0036715C" w:rsidP="00B35262">
            <w:pPr>
              <w:ind w:left="-471"/>
              <w:jc w:val="center"/>
              <w:rPr>
                <w:lang w:val="uk-UA"/>
              </w:rPr>
            </w:pPr>
            <w:r w:rsidRPr="00103B97">
              <w:rPr>
                <w:lang w:val="uk-UA"/>
              </w:rPr>
              <w:t>B</w:t>
            </w:r>
          </w:p>
        </w:tc>
      </w:tr>
      <w:tr w:rsidR="0036715C" w:rsidRPr="00103B97" w:rsidTr="00B35262">
        <w:trPr>
          <w:cantSplit/>
          <w:trHeight w:val="251"/>
        </w:trPr>
        <w:tc>
          <w:tcPr>
            <w:tcW w:w="1296" w:type="pct"/>
            <w:vMerge/>
            <w:vAlign w:val="center"/>
          </w:tcPr>
          <w:p w:rsidR="0036715C" w:rsidRPr="00103B97" w:rsidRDefault="0036715C" w:rsidP="00B352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32" w:type="pct"/>
          </w:tcPr>
          <w:p w:rsidR="0036715C" w:rsidRPr="00103B97" w:rsidRDefault="0036715C" w:rsidP="00B35262">
            <w:pPr>
              <w:rPr>
                <w:lang w:val="uk-UA"/>
              </w:rPr>
            </w:pPr>
            <w:r w:rsidRPr="00103B97">
              <w:rPr>
                <w:b/>
                <w:u w:val="single"/>
                <w:lang w:val="uk-UA"/>
              </w:rPr>
              <w:t xml:space="preserve">Добре </w:t>
            </w:r>
            <w:r w:rsidRPr="00103B97">
              <w:rPr>
                <w:lang w:val="uk-UA"/>
              </w:rPr>
              <w:t>– в загальному правильна робота з певною кількістю грубих помилок</w:t>
            </w:r>
          </w:p>
        </w:tc>
        <w:tc>
          <w:tcPr>
            <w:tcW w:w="721" w:type="pct"/>
            <w:vAlign w:val="center"/>
          </w:tcPr>
          <w:p w:rsidR="0036715C" w:rsidRPr="00103B97" w:rsidRDefault="0036715C" w:rsidP="00B35262">
            <w:pPr>
              <w:ind w:left="-346"/>
              <w:jc w:val="center"/>
              <w:rPr>
                <w:lang w:val="uk-UA"/>
              </w:rPr>
            </w:pPr>
            <w:r w:rsidRPr="00103B97">
              <w:rPr>
                <w:lang w:val="uk-UA"/>
              </w:rPr>
              <w:t>75-81</w:t>
            </w:r>
          </w:p>
        </w:tc>
        <w:tc>
          <w:tcPr>
            <w:tcW w:w="651" w:type="pct"/>
            <w:vAlign w:val="center"/>
          </w:tcPr>
          <w:p w:rsidR="0036715C" w:rsidRPr="00103B97" w:rsidRDefault="0036715C" w:rsidP="00B35262">
            <w:pPr>
              <w:ind w:left="-471"/>
              <w:jc w:val="center"/>
              <w:rPr>
                <w:lang w:val="uk-UA"/>
              </w:rPr>
            </w:pPr>
            <w:r w:rsidRPr="00103B97">
              <w:rPr>
                <w:lang w:val="uk-UA"/>
              </w:rPr>
              <w:t>C</w:t>
            </w:r>
          </w:p>
        </w:tc>
      </w:tr>
      <w:tr w:rsidR="0036715C" w:rsidRPr="00103B97" w:rsidTr="00B35262">
        <w:trPr>
          <w:cantSplit/>
          <w:trHeight w:val="463"/>
        </w:trPr>
        <w:tc>
          <w:tcPr>
            <w:tcW w:w="1296" w:type="pct"/>
            <w:vMerge w:val="restart"/>
            <w:vAlign w:val="center"/>
          </w:tcPr>
          <w:p w:rsidR="0036715C" w:rsidRPr="00103B97" w:rsidRDefault="0036715C" w:rsidP="00B35262">
            <w:pPr>
              <w:jc w:val="center"/>
              <w:rPr>
                <w:b/>
                <w:lang w:val="uk-UA"/>
              </w:rPr>
            </w:pPr>
            <w:r w:rsidRPr="00103B97">
              <w:rPr>
                <w:b/>
                <w:lang w:val="uk-UA"/>
              </w:rPr>
              <w:t>ЗАДОВІЛЬНО - 3</w:t>
            </w:r>
          </w:p>
        </w:tc>
        <w:tc>
          <w:tcPr>
            <w:tcW w:w="2332" w:type="pct"/>
          </w:tcPr>
          <w:p w:rsidR="0036715C" w:rsidRPr="00103B97" w:rsidRDefault="0036715C" w:rsidP="00B35262">
            <w:pPr>
              <w:rPr>
                <w:lang w:val="uk-UA"/>
              </w:rPr>
            </w:pPr>
            <w:r w:rsidRPr="00103B97">
              <w:rPr>
                <w:b/>
                <w:u w:val="single"/>
                <w:lang w:val="uk-UA"/>
              </w:rPr>
              <w:t>Задовільно</w:t>
            </w:r>
            <w:r w:rsidRPr="00103B97">
              <w:rPr>
                <w:lang w:val="uk-UA"/>
              </w:rPr>
              <w:t xml:space="preserve">  - непогано, але зі значною кількістю недоліків</w:t>
            </w:r>
          </w:p>
        </w:tc>
        <w:tc>
          <w:tcPr>
            <w:tcW w:w="721" w:type="pct"/>
            <w:vAlign w:val="center"/>
          </w:tcPr>
          <w:p w:rsidR="0036715C" w:rsidRPr="00103B97" w:rsidRDefault="0036715C" w:rsidP="00B35262">
            <w:pPr>
              <w:ind w:left="-346"/>
              <w:jc w:val="center"/>
              <w:rPr>
                <w:lang w:val="uk-UA"/>
              </w:rPr>
            </w:pPr>
            <w:r w:rsidRPr="00103B97">
              <w:rPr>
                <w:lang w:val="uk-UA"/>
              </w:rPr>
              <w:t>69-74</w:t>
            </w:r>
          </w:p>
        </w:tc>
        <w:tc>
          <w:tcPr>
            <w:tcW w:w="651" w:type="pct"/>
            <w:vAlign w:val="center"/>
          </w:tcPr>
          <w:p w:rsidR="0036715C" w:rsidRPr="00103B97" w:rsidRDefault="0036715C" w:rsidP="00B35262">
            <w:pPr>
              <w:ind w:left="-471"/>
              <w:jc w:val="center"/>
              <w:rPr>
                <w:lang w:val="uk-UA"/>
              </w:rPr>
            </w:pPr>
            <w:r w:rsidRPr="00103B97">
              <w:rPr>
                <w:lang w:val="uk-UA"/>
              </w:rPr>
              <w:t>D</w:t>
            </w:r>
          </w:p>
        </w:tc>
      </w:tr>
      <w:tr w:rsidR="0036715C" w:rsidRPr="00103B97" w:rsidTr="00B35262">
        <w:trPr>
          <w:cantSplit/>
          <w:trHeight w:val="70"/>
        </w:trPr>
        <w:tc>
          <w:tcPr>
            <w:tcW w:w="1296" w:type="pct"/>
            <w:vMerge/>
            <w:vAlign w:val="center"/>
          </w:tcPr>
          <w:p w:rsidR="0036715C" w:rsidRPr="00103B97" w:rsidRDefault="0036715C" w:rsidP="00B352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32" w:type="pct"/>
          </w:tcPr>
          <w:p w:rsidR="0036715C" w:rsidRPr="00103B97" w:rsidRDefault="0036715C" w:rsidP="00B35262">
            <w:pPr>
              <w:rPr>
                <w:lang w:val="uk-UA"/>
              </w:rPr>
            </w:pPr>
            <w:r w:rsidRPr="00103B97">
              <w:rPr>
                <w:b/>
                <w:u w:val="single"/>
                <w:lang w:val="uk-UA"/>
              </w:rPr>
              <w:t>Достатньо</w:t>
            </w:r>
            <w:r w:rsidRPr="00103B97">
              <w:rPr>
                <w:lang w:val="uk-UA"/>
              </w:rPr>
              <w:t xml:space="preserve"> – виконання задовольняє мінімальні критерії</w:t>
            </w:r>
          </w:p>
        </w:tc>
        <w:tc>
          <w:tcPr>
            <w:tcW w:w="721" w:type="pct"/>
            <w:vAlign w:val="center"/>
          </w:tcPr>
          <w:p w:rsidR="0036715C" w:rsidRPr="00103B97" w:rsidRDefault="0036715C" w:rsidP="00B35262">
            <w:pPr>
              <w:ind w:left="-346"/>
              <w:jc w:val="center"/>
              <w:rPr>
                <w:lang w:val="uk-UA"/>
              </w:rPr>
            </w:pPr>
            <w:r w:rsidRPr="00103B97">
              <w:rPr>
                <w:lang w:val="uk-UA"/>
              </w:rPr>
              <w:t>60-68</w:t>
            </w:r>
          </w:p>
        </w:tc>
        <w:tc>
          <w:tcPr>
            <w:tcW w:w="651" w:type="pct"/>
            <w:vAlign w:val="center"/>
          </w:tcPr>
          <w:p w:rsidR="0036715C" w:rsidRPr="00103B97" w:rsidRDefault="0036715C" w:rsidP="00B35262">
            <w:pPr>
              <w:ind w:left="-471"/>
              <w:jc w:val="center"/>
              <w:rPr>
                <w:lang w:val="uk-UA"/>
              </w:rPr>
            </w:pPr>
            <w:r w:rsidRPr="00103B97">
              <w:rPr>
                <w:lang w:val="uk-UA"/>
              </w:rPr>
              <w:t>E</w:t>
            </w:r>
          </w:p>
        </w:tc>
      </w:tr>
      <w:tr w:rsidR="0036715C" w:rsidRPr="00103B97" w:rsidTr="00B35262">
        <w:trPr>
          <w:cantSplit/>
          <w:trHeight w:val="551"/>
        </w:trPr>
        <w:tc>
          <w:tcPr>
            <w:tcW w:w="1296" w:type="pct"/>
            <w:vMerge w:val="restart"/>
            <w:vAlign w:val="center"/>
          </w:tcPr>
          <w:p w:rsidR="0036715C" w:rsidRPr="00103B97" w:rsidRDefault="0036715C" w:rsidP="00B35262">
            <w:pPr>
              <w:jc w:val="center"/>
              <w:rPr>
                <w:b/>
                <w:lang w:val="uk-UA"/>
              </w:rPr>
            </w:pPr>
            <w:r w:rsidRPr="00103B97">
              <w:rPr>
                <w:b/>
                <w:lang w:val="uk-UA"/>
              </w:rPr>
              <w:t>НЕЗАДОВІЛЬНО - 2</w:t>
            </w:r>
          </w:p>
        </w:tc>
        <w:tc>
          <w:tcPr>
            <w:tcW w:w="2332" w:type="pct"/>
          </w:tcPr>
          <w:p w:rsidR="0036715C" w:rsidRPr="00103B97" w:rsidRDefault="0036715C" w:rsidP="00B35262">
            <w:pPr>
              <w:rPr>
                <w:lang w:val="uk-UA"/>
              </w:rPr>
            </w:pPr>
            <w:r w:rsidRPr="00103B97">
              <w:rPr>
                <w:b/>
                <w:u w:val="single"/>
                <w:lang w:val="uk-UA"/>
              </w:rPr>
              <w:t xml:space="preserve">Незадовільно </w:t>
            </w:r>
            <w:r w:rsidRPr="00103B97">
              <w:rPr>
                <w:lang w:val="uk-UA"/>
              </w:rPr>
              <w:t>– потрібно попрацювати перед тим як отримати залік або екзамен (без повторного вивчення модуля)</w:t>
            </w:r>
          </w:p>
        </w:tc>
        <w:tc>
          <w:tcPr>
            <w:tcW w:w="721" w:type="pct"/>
            <w:vAlign w:val="center"/>
          </w:tcPr>
          <w:p w:rsidR="0036715C" w:rsidRPr="00103B97" w:rsidRDefault="0036715C" w:rsidP="00B35262">
            <w:pPr>
              <w:ind w:left="-346"/>
              <w:jc w:val="center"/>
              <w:rPr>
                <w:lang w:val="uk-UA"/>
              </w:rPr>
            </w:pPr>
            <w:r w:rsidRPr="00103B97">
              <w:rPr>
                <w:lang w:val="uk-UA"/>
              </w:rPr>
              <w:t>35-59</w:t>
            </w:r>
          </w:p>
        </w:tc>
        <w:tc>
          <w:tcPr>
            <w:tcW w:w="651" w:type="pct"/>
            <w:vAlign w:val="center"/>
          </w:tcPr>
          <w:p w:rsidR="0036715C" w:rsidRPr="00103B97" w:rsidRDefault="0036715C" w:rsidP="00B35262">
            <w:pPr>
              <w:ind w:left="-471"/>
              <w:jc w:val="center"/>
              <w:rPr>
                <w:lang w:val="uk-UA"/>
              </w:rPr>
            </w:pPr>
            <w:r w:rsidRPr="00103B97">
              <w:rPr>
                <w:lang w:val="uk-UA"/>
              </w:rPr>
              <w:t>FX</w:t>
            </w:r>
          </w:p>
        </w:tc>
      </w:tr>
      <w:tr w:rsidR="0036715C" w:rsidRPr="00103B97" w:rsidTr="00B35262">
        <w:trPr>
          <w:cantSplit/>
          <w:trHeight w:val="823"/>
        </w:trPr>
        <w:tc>
          <w:tcPr>
            <w:tcW w:w="1296" w:type="pct"/>
            <w:vMerge/>
            <w:vAlign w:val="center"/>
          </w:tcPr>
          <w:p w:rsidR="0036715C" w:rsidRPr="00103B97" w:rsidRDefault="0036715C" w:rsidP="00B35262">
            <w:pPr>
              <w:jc w:val="center"/>
              <w:rPr>
                <w:lang w:val="uk-UA"/>
              </w:rPr>
            </w:pPr>
          </w:p>
        </w:tc>
        <w:tc>
          <w:tcPr>
            <w:tcW w:w="2332" w:type="pct"/>
          </w:tcPr>
          <w:p w:rsidR="0036715C" w:rsidRPr="00103B97" w:rsidRDefault="0036715C" w:rsidP="00B35262">
            <w:pPr>
              <w:rPr>
                <w:lang w:val="uk-UA"/>
              </w:rPr>
            </w:pPr>
            <w:r w:rsidRPr="00103B97">
              <w:rPr>
                <w:b/>
                <w:u w:val="single"/>
                <w:lang w:val="uk-UA"/>
              </w:rPr>
              <w:t xml:space="preserve">Незадовільно </w:t>
            </w:r>
            <w:r w:rsidRPr="00103B97">
              <w:rPr>
                <w:lang w:val="uk-UA"/>
              </w:rPr>
              <w:t xml:space="preserve"> - необхідна серйозна подальша робота (повторне вивчення модуля)</w:t>
            </w:r>
          </w:p>
        </w:tc>
        <w:tc>
          <w:tcPr>
            <w:tcW w:w="721" w:type="pct"/>
            <w:vAlign w:val="center"/>
          </w:tcPr>
          <w:p w:rsidR="0036715C" w:rsidRPr="00103B97" w:rsidRDefault="0036715C" w:rsidP="00B35262">
            <w:pPr>
              <w:ind w:left="-346"/>
              <w:jc w:val="center"/>
              <w:rPr>
                <w:lang w:val="uk-UA"/>
              </w:rPr>
            </w:pPr>
            <w:r w:rsidRPr="00103B97">
              <w:rPr>
                <w:lang w:val="uk-UA"/>
              </w:rPr>
              <w:t>&lt;35</w:t>
            </w:r>
          </w:p>
        </w:tc>
        <w:tc>
          <w:tcPr>
            <w:tcW w:w="651" w:type="pct"/>
            <w:vAlign w:val="center"/>
          </w:tcPr>
          <w:p w:rsidR="0036715C" w:rsidRPr="00103B97" w:rsidRDefault="0036715C" w:rsidP="00B35262">
            <w:pPr>
              <w:ind w:left="-471"/>
              <w:jc w:val="center"/>
              <w:rPr>
                <w:lang w:val="uk-UA"/>
              </w:rPr>
            </w:pPr>
            <w:r w:rsidRPr="00103B97">
              <w:rPr>
                <w:lang w:val="uk-UA"/>
              </w:rPr>
              <w:t>F</w:t>
            </w:r>
          </w:p>
        </w:tc>
      </w:tr>
    </w:tbl>
    <w:p w:rsidR="0036715C" w:rsidRPr="006A4037" w:rsidRDefault="0036715C" w:rsidP="0036715C">
      <w:pPr>
        <w:shd w:val="clear" w:color="auto" w:fill="FFFFFF"/>
        <w:jc w:val="center"/>
        <w:rPr>
          <w:b/>
          <w:szCs w:val="28"/>
          <w:lang w:val="uk-UA"/>
        </w:rPr>
      </w:pPr>
    </w:p>
    <w:p w:rsidR="0036715C" w:rsidRPr="00EF5FB2" w:rsidRDefault="0036715C" w:rsidP="0036715C">
      <w:pPr>
        <w:ind w:firstLine="709"/>
        <w:jc w:val="both"/>
        <w:rPr>
          <w:szCs w:val="28"/>
          <w:lang w:val="uk-UA"/>
        </w:rPr>
      </w:pPr>
      <w:r w:rsidRPr="00EF5FB2">
        <w:rPr>
          <w:szCs w:val="28"/>
          <w:lang w:val="uk-UA"/>
        </w:rPr>
        <w:t xml:space="preserve">Принцип формування оцінки за модуль </w:t>
      </w:r>
      <w:r>
        <w:rPr>
          <w:szCs w:val="28"/>
          <w:lang w:val="uk-UA"/>
        </w:rPr>
        <w:t xml:space="preserve">для денної форми навчання </w:t>
      </w:r>
      <w:r w:rsidRPr="00EF5FB2">
        <w:rPr>
          <w:szCs w:val="28"/>
          <w:lang w:val="uk-UA"/>
        </w:rPr>
        <w:t xml:space="preserve">у складі залікових кредитів І </w:t>
      </w:r>
      <w:proofErr w:type="spellStart"/>
      <w:r w:rsidRPr="00EF5FB2">
        <w:rPr>
          <w:szCs w:val="28"/>
          <w:lang w:val="uk-UA"/>
        </w:rPr>
        <w:t>і</w:t>
      </w:r>
      <w:proofErr w:type="spellEnd"/>
      <w:r w:rsidRPr="00EF5FB2">
        <w:rPr>
          <w:szCs w:val="28"/>
          <w:lang w:val="uk-UA"/>
        </w:rPr>
        <w:t xml:space="preserve"> ІІ за 100-бальною шкалою показано у таблиці, де наведена максимальна кількість балів, яку може набрати студент за різними видами навчального навантаження.</w:t>
      </w:r>
    </w:p>
    <w:p w:rsidR="0036715C" w:rsidRPr="00103B97" w:rsidRDefault="0036715C" w:rsidP="0036715C">
      <w:pPr>
        <w:ind w:firstLine="284"/>
        <w:jc w:val="both"/>
        <w:rPr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4059"/>
        <w:gridCol w:w="2673"/>
      </w:tblGrid>
      <w:tr w:rsidR="0036715C" w:rsidRPr="00103B97" w:rsidTr="00B35262">
        <w:trPr>
          <w:jc w:val="center"/>
        </w:trPr>
        <w:tc>
          <w:tcPr>
            <w:tcW w:w="5000" w:type="pct"/>
            <w:gridSpan w:val="3"/>
          </w:tcPr>
          <w:p w:rsidR="0036715C" w:rsidRPr="00103B97" w:rsidRDefault="0036715C" w:rsidP="00B35262">
            <w:pPr>
              <w:jc w:val="center"/>
              <w:rPr>
                <w:b/>
                <w:szCs w:val="28"/>
                <w:lang w:val="uk-UA"/>
              </w:rPr>
            </w:pPr>
            <w:r w:rsidRPr="00103B97">
              <w:rPr>
                <w:b/>
                <w:szCs w:val="28"/>
                <w:lang w:val="uk-UA"/>
              </w:rPr>
              <w:t>Максимальна кількість балів за модуль</w:t>
            </w:r>
          </w:p>
        </w:tc>
      </w:tr>
      <w:tr w:rsidR="0036715C" w:rsidRPr="00103B97" w:rsidTr="00B35262">
        <w:trPr>
          <w:trHeight w:val="571"/>
          <w:jc w:val="center"/>
        </w:trPr>
        <w:tc>
          <w:tcPr>
            <w:tcW w:w="1398" w:type="pct"/>
            <w:vAlign w:val="center"/>
          </w:tcPr>
          <w:p w:rsidR="0036715C" w:rsidRPr="00103B97" w:rsidRDefault="0036715C" w:rsidP="00B35262">
            <w:pPr>
              <w:jc w:val="center"/>
              <w:rPr>
                <w:szCs w:val="28"/>
                <w:lang w:val="uk-UA"/>
              </w:rPr>
            </w:pPr>
            <w:r w:rsidRPr="00103B97">
              <w:rPr>
                <w:szCs w:val="28"/>
                <w:lang w:val="uk-UA"/>
              </w:rPr>
              <w:lastRenderedPageBreak/>
              <w:t xml:space="preserve">Поточний </w:t>
            </w:r>
          </w:p>
          <w:p w:rsidR="0036715C" w:rsidRPr="00103B97" w:rsidRDefault="0036715C" w:rsidP="00B35262">
            <w:pPr>
              <w:jc w:val="center"/>
              <w:rPr>
                <w:szCs w:val="28"/>
                <w:lang w:val="uk-UA"/>
              </w:rPr>
            </w:pPr>
            <w:r w:rsidRPr="00103B97">
              <w:rPr>
                <w:szCs w:val="28"/>
                <w:lang w:val="uk-UA"/>
              </w:rPr>
              <w:t>контроль</w:t>
            </w:r>
          </w:p>
        </w:tc>
        <w:tc>
          <w:tcPr>
            <w:tcW w:w="2172" w:type="pct"/>
            <w:vAlign w:val="center"/>
          </w:tcPr>
          <w:p w:rsidR="0036715C" w:rsidRPr="00103B97" w:rsidRDefault="0036715C" w:rsidP="00B35262">
            <w:pPr>
              <w:jc w:val="center"/>
              <w:rPr>
                <w:szCs w:val="28"/>
                <w:lang w:val="uk-UA"/>
              </w:rPr>
            </w:pPr>
            <w:r w:rsidRPr="00103B97">
              <w:rPr>
                <w:szCs w:val="28"/>
                <w:lang w:val="uk-UA"/>
              </w:rPr>
              <w:t>Модульний контроль</w:t>
            </w:r>
          </w:p>
          <w:p w:rsidR="0036715C" w:rsidRPr="00103B97" w:rsidRDefault="0036715C" w:rsidP="00B35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(т</w:t>
            </w:r>
            <w:r w:rsidRPr="00103B97">
              <w:rPr>
                <w:szCs w:val="28"/>
                <w:lang w:val="uk-UA"/>
              </w:rPr>
              <w:t>ести)</w:t>
            </w:r>
          </w:p>
        </w:tc>
        <w:tc>
          <w:tcPr>
            <w:tcW w:w="1430" w:type="pct"/>
            <w:vAlign w:val="center"/>
          </w:tcPr>
          <w:p w:rsidR="0036715C" w:rsidRPr="00103B97" w:rsidRDefault="0036715C" w:rsidP="00B35262">
            <w:pPr>
              <w:jc w:val="center"/>
              <w:rPr>
                <w:szCs w:val="28"/>
                <w:lang w:val="uk-UA"/>
              </w:rPr>
            </w:pPr>
            <w:r w:rsidRPr="00103B97">
              <w:rPr>
                <w:szCs w:val="28"/>
                <w:lang w:val="uk-UA"/>
              </w:rPr>
              <w:t>Сума балів за модуль</w:t>
            </w:r>
          </w:p>
        </w:tc>
      </w:tr>
      <w:tr w:rsidR="0036715C" w:rsidRPr="00103B97" w:rsidTr="00B35262">
        <w:trPr>
          <w:jc w:val="center"/>
        </w:trPr>
        <w:tc>
          <w:tcPr>
            <w:tcW w:w="1398" w:type="pct"/>
            <w:tcBorders>
              <w:bottom w:val="single" w:sz="4" w:space="0" w:color="auto"/>
            </w:tcBorders>
          </w:tcPr>
          <w:p w:rsidR="0036715C" w:rsidRPr="00103B97" w:rsidRDefault="0036715C" w:rsidP="00B35262">
            <w:pPr>
              <w:jc w:val="center"/>
              <w:rPr>
                <w:szCs w:val="28"/>
                <w:lang w:val="uk-UA"/>
              </w:rPr>
            </w:pPr>
            <w:r w:rsidRPr="00103B97">
              <w:rPr>
                <w:szCs w:val="28"/>
                <w:lang w:val="uk-UA"/>
              </w:rPr>
              <w:t>До 60</w:t>
            </w:r>
          </w:p>
        </w:tc>
        <w:tc>
          <w:tcPr>
            <w:tcW w:w="2172" w:type="pct"/>
            <w:vAlign w:val="center"/>
          </w:tcPr>
          <w:p w:rsidR="0036715C" w:rsidRPr="00103B97" w:rsidRDefault="0036715C" w:rsidP="00B35262">
            <w:pPr>
              <w:jc w:val="center"/>
              <w:rPr>
                <w:szCs w:val="28"/>
                <w:lang w:val="uk-UA"/>
              </w:rPr>
            </w:pPr>
            <w:r w:rsidRPr="00103B97">
              <w:rPr>
                <w:szCs w:val="28"/>
                <w:lang w:val="uk-UA"/>
              </w:rPr>
              <w:t>До 40</w:t>
            </w:r>
          </w:p>
        </w:tc>
        <w:tc>
          <w:tcPr>
            <w:tcW w:w="1430" w:type="pct"/>
            <w:vAlign w:val="center"/>
          </w:tcPr>
          <w:p w:rsidR="0036715C" w:rsidRPr="00103B97" w:rsidRDefault="0036715C" w:rsidP="00B35262">
            <w:pPr>
              <w:jc w:val="center"/>
              <w:rPr>
                <w:szCs w:val="28"/>
                <w:lang w:val="uk-UA"/>
              </w:rPr>
            </w:pPr>
            <w:r w:rsidRPr="00103B97">
              <w:rPr>
                <w:szCs w:val="28"/>
                <w:lang w:val="uk-UA"/>
              </w:rPr>
              <w:t>До 100</w:t>
            </w:r>
          </w:p>
        </w:tc>
      </w:tr>
      <w:tr w:rsidR="0036715C" w:rsidRPr="00103B97" w:rsidTr="00B35262">
        <w:trPr>
          <w:cantSplit/>
          <w:trHeight w:val="312"/>
          <w:jc w:val="center"/>
        </w:trPr>
        <w:tc>
          <w:tcPr>
            <w:tcW w:w="3570" w:type="pct"/>
            <w:gridSpan w:val="2"/>
            <w:vAlign w:val="center"/>
          </w:tcPr>
          <w:p w:rsidR="0036715C" w:rsidRDefault="0036715C" w:rsidP="00B35262">
            <w:pPr>
              <w:jc w:val="center"/>
              <w:rPr>
                <w:szCs w:val="28"/>
                <w:lang w:val="uk-UA"/>
              </w:rPr>
            </w:pPr>
            <w:r w:rsidRPr="00103B97">
              <w:rPr>
                <w:szCs w:val="28"/>
                <w:lang w:val="uk-UA"/>
              </w:rPr>
              <w:t xml:space="preserve">Поточний </w:t>
            </w:r>
          </w:p>
          <w:p w:rsidR="0036715C" w:rsidRPr="00103B97" w:rsidRDefault="0036715C" w:rsidP="00B35262">
            <w:pPr>
              <w:jc w:val="center"/>
              <w:rPr>
                <w:lang w:val="uk-UA"/>
              </w:rPr>
            </w:pPr>
            <w:r w:rsidRPr="00103B97">
              <w:rPr>
                <w:szCs w:val="28"/>
                <w:lang w:val="uk-UA"/>
              </w:rPr>
              <w:t>контроль</w:t>
            </w:r>
          </w:p>
        </w:tc>
        <w:tc>
          <w:tcPr>
            <w:tcW w:w="1430" w:type="pct"/>
            <w:vAlign w:val="center"/>
          </w:tcPr>
          <w:p w:rsidR="0036715C" w:rsidRPr="008F6096" w:rsidRDefault="0036715C" w:rsidP="00B35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Pr="008F6096">
              <w:rPr>
                <w:szCs w:val="28"/>
                <w:lang w:val="uk-UA"/>
              </w:rPr>
              <w:t xml:space="preserve"> семестр</w:t>
            </w:r>
          </w:p>
        </w:tc>
      </w:tr>
      <w:tr w:rsidR="0036715C" w:rsidRPr="00103B97" w:rsidTr="00B35262">
        <w:trPr>
          <w:trHeight w:val="461"/>
          <w:jc w:val="center"/>
        </w:trPr>
        <w:tc>
          <w:tcPr>
            <w:tcW w:w="3570" w:type="pct"/>
            <w:gridSpan w:val="2"/>
          </w:tcPr>
          <w:p w:rsidR="0036715C" w:rsidRPr="00103B97" w:rsidRDefault="0036715C" w:rsidP="00B3526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Активність на заняттях (лекціях, практичних)</w:t>
            </w:r>
          </w:p>
        </w:tc>
        <w:tc>
          <w:tcPr>
            <w:tcW w:w="1430" w:type="pct"/>
            <w:vAlign w:val="center"/>
          </w:tcPr>
          <w:p w:rsidR="0036715C" w:rsidRPr="00103B97" w:rsidRDefault="0036715C" w:rsidP="00B35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36715C" w:rsidRPr="00103B97" w:rsidTr="00B35262">
        <w:trPr>
          <w:jc w:val="center"/>
        </w:trPr>
        <w:tc>
          <w:tcPr>
            <w:tcW w:w="3570" w:type="pct"/>
            <w:gridSpan w:val="2"/>
          </w:tcPr>
          <w:p w:rsidR="0036715C" w:rsidRPr="00103B97" w:rsidRDefault="0036715C" w:rsidP="00B35262">
            <w:pPr>
              <w:jc w:val="both"/>
              <w:rPr>
                <w:szCs w:val="28"/>
                <w:lang w:val="uk-UA"/>
              </w:rPr>
            </w:pPr>
            <w:r w:rsidRPr="00103B97">
              <w:rPr>
                <w:szCs w:val="28"/>
                <w:lang w:val="uk-UA"/>
              </w:rPr>
              <w:t xml:space="preserve">Виконання </w:t>
            </w:r>
            <w:r>
              <w:rPr>
                <w:szCs w:val="28"/>
                <w:lang w:val="uk-UA"/>
              </w:rPr>
              <w:t>індивідуальних</w:t>
            </w:r>
            <w:r w:rsidRPr="00103B97">
              <w:rPr>
                <w:szCs w:val="28"/>
                <w:lang w:val="uk-UA"/>
              </w:rPr>
              <w:t xml:space="preserve"> за</w:t>
            </w:r>
            <w:r>
              <w:rPr>
                <w:szCs w:val="28"/>
                <w:lang w:val="uk-UA"/>
              </w:rPr>
              <w:t>вдань на практичних заняттях</w:t>
            </w:r>
          </w:p>
        </w:tc>
        <w:tc>
          <w:tcPr>
            <w:tcW w:w="1430" w:type="pct"/>
            <w:vAlign w:val="center"/>
          </w:tcPr>
          <w:p w:rsidR="0036715C" w:rsidRPr="00103B97" w:rsidRDefault="0036715C" w:rsidP="00B35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</w:t>
            </w:r>
          </w:p>
        </w:tc>
      </w:tr>
      <w:tr w:rsidR="0036715C" w:rsidRPr="00103B97" w:rsidTr="00B35262">
        <w:trPr>
          <w:jc w:val="center"/>
        </w:trPr>
        <w:tc>
          <w:tcPr>
            <w:tcW w:w="3570" w:type="pct"/>
            <w:gridSpan w:val="2"/>
          </w:tcPr>
          <w:p w:rsidR="0036715C" w:rsidRPr="009C48FE" w:rsidRDefault="0036715C" w:rsidP="00B3526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Pr="009C48FE">
              <w:rPr>
                <w:szCs w:val="28"/>
                <w:lang w:val="uk-UA"/>
              </w:rPr>
              <w:t>асвоєння розділів дисципліни, визначених для самостійного вивчення</w:t>
            </w:r>
          </w:p>
        </w:tc>
        <w:tc>
          <w:tcPr>
            <w:tcW w:w="1430" w:type="pct"/>
            <w:vAlign w:val="center"/>
          </w:tcPr>
          <w:p w:rsidR="0036715C" w:rsidRPr="00103B97" w:rsidRDefault="0036715C" w:rsidP="00B35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36715C" w:rsidRPr="00103B97" w:rsidTr="00B35262">
        <w:trPr>
          <w:jc w:val="center"/>
        </w:trPr>
        <w:tc>
          <w:tcPr>
            <w:tcW w:w="3570" w:type="pct"/>
            <w:gridSpan w:val="2"/>
          </w:tcPr>
          <w:p w:rsidR="0036715C" w:rsidRPr="00103B97" w:rsidRDefault="0036715C" w:rsidP="00B35262">
            <w:pPr>
              <w:jc w:val="both"/>
              <w:rPr>
                <w:szCs w:val="28"/>
                <w:lang w:val="uk-UA"/>
              </w:rPr>
            </w:pPr>
            <w:r w:rsidRPr="00103B97">
              <w:rPr>
                <w:szCs w:val="28"/>
                <w:lang w:val="uk-UA"/>
              </w:rPr>
              <w:t>Підсумок</w:t>
            </w:r>
          </w:p>
        </w:tc>
        <w:tc>
          <w:tcPr>
            <w:tcW w:w="1430" w:type="pct"/>
          </w:tcPr>
          <w:p w:rsidR="0036715C" w:rsidRPr="00103B97" w:rsidRDefault="0036715C" w:rsidP="00B35262">
            <w:pPr>
              <w:jc w:val="center"/>
              <w:rPr>
                <w:szCs w:val="28"/>
                <w:lang w:val="uk-UA"/>
              </w:rPr>
            </w:pPr>
            <w:r w:rsidRPr="00103B97">
              <w:rPr>
                <w:szCs w:val="28"/>
                <w:lang w:val="uk-UA"/>
              </w:rPr>
              <w:t xml:space="preserve">до </w:t>
            </w:r>
            <w:r>
              <w:rPr>
                <w:szCs w:val="28"/>
                <w:lang w:val="uk-UA"/>
              </w:rPr>
              <w:t>10</w:t>
            </w:r>
            <w:r w:rsidRPr="00103B97">
              <w:rPr>
                <w:szCs w:val="28"/>
                <w:lang w:val="uk-UA"/>
              </w:rPr>
              <w:t>0</w:t>
            </w:r>
          </w:p>
        </w:tc>
      </w:tr>
    </w:tbl>
    <w:p w:rsidR="0036715C" w:rsidRDefault="0036715C" w:rsidP="0036715C">
      <w:pPr>
        <w:ind w:firstLine="709"/>
        <w:jc w:val="both"/>
        <w:rPr>
          <w:szCs w:val="28"/>
          <w:lang w:val="uk-UA"/>
        </w:rPr>
      </w:pPr>
    </w:p>
    <w:p w:rsidR="0036715C" w:rsidRDefault="0036715C" w:rsidP="0036715C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Студент за курс може отримати максимум </w:t>
      </w:r>
      <w:r w:rsidRPr="007D4FD8">
        <w:rPr>
          <w:b/>
          <w:szCs w:val="28"/>
          <w:lang w:val="uk-UA"/>
        </w:rPr>
        <w:t>100 балів</w:t>
      </w:r>
      <w:r>
        <w:rPr>
          <w:szCs w:val="28"/>
          <w:lang w:val="uk-UA"/>
        </w:rPr>
        <w:t xml:space="preserve">. </w:t>
      </w:r>
    </w:p>
    <w:p w:rsidR="0036715C" w:rsidRPr="00FA6714" w:rsidRDefault="0036715C" w:rsidP="0036715C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  <w:r w:rsidRPr="00FA6714">
        <w:rPr>
          <w:lang w:val="uk-UA"/>
        </w:rPr>
        <w:t xml:space="preserve">Виконання індивідуального завдання повинно як за формою, так і за змістом відповідати вимогам (мати всі необхідні складові), що висуваються до вирішення відповідного завдання, свідчити про його самостійність (демонструвати ознаки самостійності виконання такої роботи), відсутність ознак плагіату. </w:t>
      </w:r>
    </w:p>
    <w:p w:rsidR="0036715C" w:rsidRDefault="0036715C" w:rsidP="0036715C">
      <w:pPr>
        <w:tabs>
          <w:tab w:val="left" w:pos="0"/>
        </w:tabs>
        <w:ind w:right="4" w:firstLine="709"/>
        <w:jc w:val="both"/>
        <w:rPr>
          <w:lang w:val="uk-UA"/>
        </w:rPr>
      </w:pPr>
      <w:r w:rsidRPr="00046550">
        <w:rPr>
          <w:lang w:val="uk-UA"/>
        </w:rPr>
        <w:t>Відпрацювання пропущених занять проводиться за графіком, який доводиться до відома студентів (відповіді на запитання викладачів за темами пропущених занять).</w:t>
      </w:r>
    </w:p>
    <w:p w:rsidR="0036715C" w:rsidRPr="00591D12" w:rsidRDefault="0036715C" w:rsidP="0036715C">
      <w:pPr>
        <w:ind w:firstLine="709"/>
        <w:jc w:val="both"/>
        <w:rPr>
          <w:rFonts w:eastAsia="Arial"/>
          <w:lang w:val="uk-UA"/>
        </w:rPr>
      </w:pPr>
      <w:r w:rsidRPr="00591D12">
        <w:rPr>
          <w:lang w:val="uk-UA"/>
        </w:rPr>
        <w:t>Організація та проведення семестрового контролю знань студентів</w:t>
      </w:r>
      <w:r w:rsidRPr="00591D12">
        <w:rPr>
          <w:rFonts w:eastAsia="Arial"/>
          <w:lang w:val="uk-UA"/>
        </w:rPr>
        <w:t xml:space="preserve"> наведені у Положенні про контроль та оцінювання якості знань студентів </w:t>
      </w:r>
      <w:r w:rsidRPr="00591D12">
        <w:rPr>
          <w:lang w:val="uk-UA"/>
        </w:rPr>
        <w:t>в Українському державному університеті залізничного транспорту</w:t>
      </w:r>
      <w:r w:rsidRPr="00591D12">
        <w:rPr>
          <w:rFonts w:eastAsia="Arial"/>
          <w:lang w:val="uk-UA"/>
        </w:rPr>
        <w:t xml:space="preserve"> (</w:t>
      </w:r>
      <w:hyperlink r:id="rId26" w:history="1">
        <w:r w:rsidRPr="00591D12">
          <w:rPr>
            <w:rStyle w:val="a3"/>
            <w:lang w:val="uk-UA"/>
          </w:rPr>
          <w:t>http://kart.edu.ua/images/stories/akademiya/documentu-vnz/polojennya-12-2015.pdf</w:t>
        </w:r>
      </w:hyperlink>
      <w:r w:rsidRPr="00591D12">
        <w:rPr>
          <w:rFonts w:eastAsia="Arial"/>
          <w:lang w:val="uk-UA"/>
        </w:rPr>
        <w:t>).</w:t>
      </w:r>
    </w:p>
    <w:p w:rsidR="0036715C" w:rsidRPr="00540037" w:rsidRDefault="0036715C" w:rsidP="0036715C">
      <w:pPr>
        <w:tabs>
          <w:tab w:val="left" w:pos="0"/>
        </w:tabs>
        <w:ind w:right="4" w:firstLine="709"/>
        <w:jc w:val="both"/>
        <w:rPr>
          <w:rFonts w:eastAsia="Arial"/>
          <w:b/>
          <w:lang w:val="uk-UA"/>
        </w:rPr>
      </w:pPr>
      <w:r w:rsidRPr="00540037">
        <w:rPr>
          <w:rFonts w:eastAsia="Arial"/>
          <w:b/>
          <w:lang w:val="uk-UA"/>
        </w:rPr>
        <w:t xml:space="preserve">Ступінь </w:t>
      </w:r>
      <w:proofErr w:type="spellStart"/>
      <w:r w:rsidRPr="00540037">
        <w:rPr>
          <w:rFonts w:eastAsia="Arial"/>
          <w:b/>
          <w:lang w:val="uk-UA"/>
        </w:rPr>
        <w:t>залученості</w:t>
      </w:r>
      <w:proofErr w:type="spellEnd"/>
      <w:r w:rsidRPr="00540037">
        <w:rPr>
          <w:rFonts w:eastAsia="Arial"/>
          <w:b/>
          <w:lang w:val="uk-UA"/>
        </w:rPr>
        <w:t>:</w:t>
      </w:r>
    </w:p>
    <w:p w:rsidR="0036715C" w:rsidRPr="00A318AA" w:rsidRDefault="0036715C" w:rsidP="0036715C">
      <w:pPr>
        <w:tabs>
          <w:tab w:val="left" w:pos="0"/>
        </w:tabs>
        <w:ind w:right="4" w:firstLine="709"/>
        <w:jc w:val="both"/>
        <w:rPr>
          <w:rFonts w:eastAsia="Arial"/>
          <w:lang w:val="uk-UA"/>
        </w:rPr>
      </w:pPr>
      <w:r w:rsidRPr="00540037">
        <w:rPr>
          <w:rFonts w:eastAsia="Arial"/>
          <w:lang w:val="uk-UA"/>
        </w:rPr>
        <w:t xml:space="preserve">Мета участі в курсі – залучити вас до дискусії, розширити можливості навчання для себе та своїх однолітків та дати вам ще один спосіб перевірити свої погляди на </w:t>
      </w:r>
      <w:r w:rsidR="006165DE">
        <w:rPr>
          <w:rFonts w:eastAsia="Arial"/>
          <w:lang w:val="uk-UA"/>
        </w:rPr>
        <w:t>ризик-орієнтовані технології перевезень</w:t>
      </w:r>
      <w:r w:rsidRPr="00540037">
        <w:rPr>
          <w:rFonts w:eastAsia="Arial"/>
          <w:lang w:val="uk-UA"/>
        </w:rPr>
        <w:t>. Участь буде оцінюватися на основі кількості та вірності ваших відповідей. Питання, хоча й заохочуються, однак не оцінюються в цьому блоці. Ми намагаємося надати всім студентам рівні та справедливі м</w:t>
      </w:r>
      <w:r>
        <w:rPr>
          <w:rFonts w:eastAsia="Arial"/>
          <w:lang w:val="uk-UA"/>
        </w:rPr>
        <w:t>ожливості для підвищення власної</w:t>
      </w:r>
      <w:r w:rsidRPr="00540037">
        <w:rPr>
          <w:rFonts w:eastAsia="Arial"/>
          <w:lang w:val="uk-UA"/>
        </w:rPr>
        <w:t xml:space="preserve"> </w:t>
      </w:r>
      <w:proofErr w:type="spellStart"/>
      <w:r w:rsidRPr="00540037">
        <w:rPr>
          <w:rFonts w:eastAsia="Arial"/>
          <w:lang w:val="uk-UA"/>
        </w:rPr>
        <w:t>залученості</w:t>
      </w:r>
      <w:proofErr w:type="spellEnd"/>
      <w:r w:rsidRPr="00540037">
        <w:rPr>
          <w:rFonts w:eastAsia="Arial"/>
          <w:lang w:val="uk-UA"/>
        </w:rPr>
        <w:t xml:space="preserve">. </w:t>
      </w:r>
    </w:p>
    <w:p w:rsidR="0036715C" w:rsidRPr="004219B5" w:rsidRDefault="0036715C" w:rsidP="0036715C">
      <w:pPr>
        <w:ind w:firstLine="709"/>
        <w:jc w:val="both"/>
        <w:rPr>
          <w:bCs/>
          <w:lang w:val="uk-UA"/>
        </w:rPr>
      </w:pPr>
      <w:r w:rsidRPr="004219B5">
        <w:rPr>
          <w:bCs/>
          <w:lang w:val="uk-UA"/>
        </w:rPr>
        <w:t xml:space="preserve">Підсумкова форма контролю з дисципліни - </w:t>
      </w:r>
      <w:r w:rsidR="006165DE">
        <w:rPr>
          <w:b/>
          <w:bCs/>
          <w:lang w:val="uk-UA"/>
        </w:rPr>
        <w:t>залік</w:t>
      </w:r>
      <w:r w:rsidRPr="00591D12">
        <w:rPr>
          <w:rFonts w:eastAsia="Arial"/>
          <w:b/>
          <w:lang w:val="uk-UA"/>
        </w:rPr>
        <w:t>.</w:t>
      </w:r>
    </w:p>
    <w:p w:rsidR="0036715C" w:rsidRDefault="0036715C" w:rsidP="0036715C">
      <w:pPr>
        <w:spacing w:line="0" w:lineRule="atLeast"/>
        <w:ind w:firstLine="709"/>
        <w:rPr>
          <w:rFonts w:ascii="Arial" w:eastAsia="Arial" w:hAnsi="Arial" w:cs="Arial"/>
          <w:b/>
          <w:color w:val="1F497D"/>
          <w:sz w:val="32"/>
          <w:szCs w:val="20"/>
          <w:lang w:val="uk-UA"/>
        </w:rPr>
      </w:pPr>
    </w:p>
    <w:p w:rsidR="0036715C" w:rsidRDefault="0036715C" w:rsidP="0036715C">
      <w:pPr>
        <w:ind w:firstLine="709"/>
        <w:jc w:val="both"/>
        <w:rPr>
          <w:rFonts w:ascii="Arial" w:eastAsia="Arial" w:hAnsi="Arial" w:cs="Arial"/>
          <w:b/>
          <w:color w:val="1F497D"/>
          <w:sz w:val="32"/>
          <w:szCs w:val="20"/>
          <w:lang w:val="uk-UA"/>
        </w:rPr>
      </w:pPr>
      <w:r w:rsidRPr="000D32E5">
        <w:rPr>
          <w:rFonts w:ascii="Arial" w:eastAsia="Arial" w:hAnsi="Arial" w:cs="Arial"/>
          <w:b/>
          <w:color w:val="1F497D"/>
          <w:sz w:val="32"/>
          <w:szCs w:val="20"/>
          <w:lang w:val="uk-UA"/>
        </w:rPr>
        <w:t>Очікувані результати навчання</w:t>
      </w:r>
    </w:p>
    <w:p w:rsidR="006165DE" w:rsidRDefault="006165DE" w:rsidP="0036715C">
      <w:pPr>
        <w:ind w:firstLine="709"/>
        <w:jc w:val="both"/>
        <w:rPr>
          <w:rFonts w:ascii="Arial" w:eastAsia="Arial" w:hAnsi="Arial" w:cs="Arial"/>
          <w:b/>
          <w:color w:val="1F497D"/>
          <w:sz w:val="32"/>
          <w:szCs w:val="20"/>
          <w:lang w:val="uk-UA"/>
        </w:rPr>
      </w:pPr>
    </w:p>
    <w:p w:rsidR="006165DE" w:rsidRDefault="006165DE" w:rsidP="0036715C">
      <w:pPr>
        <w:ind w:firstLine="709"/>
        <w:jc w:val="both"/>
        <w:rPr>
          <w:lang w:val="uk-UA"/>
        </w:rPr>
      </w:pPr>
      <w:r w:rsidRPr="006165DE">
        <w:rPr>
          <w:color w:val="000000"/>
          <w:lang w:val="uk-UA"/>
        </w:rPr>
        <w:t>В процесі вивчення курсу «</w:t>
      </w:r>
      <w:r>
        <w:rPr>
          <w:color w:val="000000"/>
          <w:lang w:val="uk-UA"/>
        </w:rPr>
        <w:t>Ризик-орієнтовані технології перевезень</w:t>
      </w:r>
      <w:r w:rsidRPr="006165DE">
        <w:rPr>
          <w:color w:val="000000"/>
          <w:lang w:val="uk-UA"/>
        </w:rPr>
        <w:t>» студенти отримують знання і вміння:</w:t>
      </w:r>
      <w:r w:rsidRPr="006165DE">
        <w:rPr>
          <w:lang w:val="uk-UA"/>
        </w:rPr>
        <w:t xml:space="preserve"> </w:t>
      </w:r>
      <w:r w:rsidRPr="006165DE">
        <w:rPr>
          <w:bCs/>
          <w:lang w:val="uk-UA"/>
        </w:rPr>
        <w:t>передавати свої знання, рішення і підґрунтя їх прийняття фахівцям і неспеціалістам в ясній і однозначній формі, представляти підсумки виконаної роботи у вигляді звітів, рефератів, наукових статей,</w:t>
      </w:r>
      <w:r w:rsidR="00D07A1A">
        <w:rPr>
          <w:bCs/>
          <w:lang w:val="uk-UA"/>
        </w:rPr>
        <w:t xml:space="preserve"> доповідей і заявок на винаходи</w:t>
      </w:r>
      <w:r w:rsidRPr="006165DE">
        <w:rPr>
          <w:lang w:val="uk-UA"/>
        </w:rPr>
        <w:t xml:space="preserve">. </w:t>
      </w:r>
    </w:p>
    <w:p w:rsidR="00D07A1A" w:rsidRPr="00D07A1A" w:rsidRDefault="00D07A1A" w:rsidP="0036715C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Виконувати ефективне управління ризиками, що включає в себе: визначення та </w:t>
      </w:r>
      <w:r>
        <w:rPr>
          <w:color w:val="000000"/>
          <w:lang w:val="uk-UA"/>
        </w:rPr>
        <w:t xml:space="preserve">ідентифікацію ризиків; </w:t>
      </w:r>
      <w:r w:rsidRPr="00D07A1A">
        <w:rPr>
          <w:color w:val="000000"/>
          <w:lang w:val="uk-UA"/>
        </w:rPr>
        <w:t>виявлення рівню небезпеки, що включає аналі</w:t>
      </w:r>
      <w:r>
        <w:rPr>
          <w:color w:val="000000"/>
          <w:lang w:val="uk-UA"/>
        </w:rPr>
        <w:t xml:space="preserve">з та оцінку ризиків; </w:t>
      </w:r>
      <w:r w:rsidRPr="00D07A1A">
        <w:rPr>
          <w:color w:val="000000"/>
          <w:lang w:val="uk-UA"/>
        </w:rPr>
        <w:t>виявлення стратегії реагування на ризик шляхом підбору відпо</w:t>
      </w:r>
      <w:r>
        <w:rPr>
          <w:color w:val="000000"/>
          <w:lang w:val="uk-UA"/>
        </w:rPr>
        <w:t xml:space="preserve">відних методів боротьби з ними; </w:t>
      </w:r>
      <w:r w:rsidRPr="00D07A1A">
        <w:rPr>
          <w:color w:val="000000"/>
          <w:lang w:val="uk-UA"/>
        </w:rPr>
        <w:t xml:space="preserve">контроль, моніторинг, оцінка результатів </w:t>
      </w:r>
      <w:r>
        <w:rPr>
          <w:color w:val="000000"/>
          <w:lang w:val="uk-UA"/>
        </w:rPr>
        <w:t xml:space="preserve">впливу обраних методів на ризик; регулярне відстеження змін; </w:t>
      </w:r>
      <w:r w:rsidRPr="00D07A1A">
        <w:rPr>
          <w:color w:val="000000"/>
          <w:lang w:val="uk-UA"/>
        </w:rPr>
        <w:t>розвиток подальшої стратегії впливу на ризик</w:t>
      </w:r>
      <w:r>
        <w:rPr>
          <w:color w:val="000000"/>
          <w:lang w:val="uk-UA"/>
        </w:rPr>
        <w:t>.</w:t>
      </w:r>
    </w:p>
    <w:p w:rsidR="00FF42A7" w:rsidRDefault="00FF42A7" w:rsidP="0036715C">
      <w:pPr>
        <w:ind w:firstLine="709"/>
        <w:jc w:val="both"/>
        <w:rPr>
          <w:rFonts w:ascii="Arial" w:eastAsia="Arial" w:hAnsi="Arial" w:cs="Arial"/>
          <w:b/>
          <w:color w:val="1F497D"/>
          <w:sz w:val="32"/>
          <w:szCs w:val="20"/>
          <w:lang w:val="uk-UA"/>
        </w:rPr>
      </w:pPr>
    </w:p>
    <w:p w:rsidR="00FF42A7" w:rsidRPr="00C66A4B" w:rsidRDefault="00FF42A7" w:rsidP="00FF42A7">
      <w:pPr>
        <w:spacing w:line="0" w:lineRule="atLeast"/>
        <w:ind w:firstLine="709"/>
        <w:rPr>
          <w:rFonts w:ascii="Arial" w:eastAsia="Arial" w:hAnsi="Arial" w:cs="Arial"/>
          <w:b/>
          <w:color w:val="1F497D"/>
          <w:sz w:val="32"/>
          <w:szCs w:val="20"/>
          <w:lang w:val="uk-UA"/>
        </w:rPr>
      </w:pPr>
      <w:r w:rsidRPr="00C66A4B">
        <w:rPr>
          <w:rFonts w:ascii="Arial" w:eastAsia="Arial" w:hAnsi="Arial" w:cs="Arial"/>
          <w:b/>
          <w:color w:val="1F497D"/>
          <w:sz w:val="32"/>
          <w:szCs w:val="20"/>
          <w:lang w:val="uk-UA"/>
        </w:rPr>
        <w:t>Команда викладачів:</w:t>
      </w:r>
    </w:p>
    <w:p w:rsidR="00FF42A7" w:rsidRDefault="00FF42A7" w:rsidP="00FF42A7">
      <w:pPr>
        <w:ind w:right="20" w:firstLine="720"/>
        <w:jc w:val="both"/>
        <w:rPr>
          <w:rFonts w:eastAsia="Arial"/>
          <w:b/>
          <w:lang w:val="uk-UA"/>
        </w:rPr>
      </w:pPr>
    </w:p>
    <w:p w:rsidR="00602CFA" w:rsidRPr="00CA210C" w:rsidRDefault="00D07A1A" w:rsidP="00FF42A7">
      <w:pPr>
        <w:ind w:right="20" w:firstLine="720"/>
        <w:jc w:val="both"/>
        <w:rPr>
          <w:rFonts w:eastAsia="Arial"/>
          <w:lang w:val="uk-UA"/>
        </w:rPr>
      </w:pPr>
      <w:r>
        <w:rPr>
          <w:rFonts w:eastAsia="Arial"/>
          <w:b/>
          <w:lang w:val="uk-UA"/>
        </w:rPr>
        <w:t>Кульова Дар</w:t>
      </w:r>
      <w:r w:rsidRPr="00D07A1A">
        <w:rPr>
          <w:rFonts w:eastAsia="Arial"/>
          <w:b/>
        </w:rPr>
        <w:t>’</w:t>
      </w:r>
      <w:r>
        <w:rPr>
          <w:rFonts w:eastAsia="Arial"/>
          <w:b/>
          <w:lang w:val="uk-UA"/>
        </w:rPr>
        <w:t>я</w:t>
      </w:r>
      <w:r w:rsidR="00FF42A7">
        <w:rPr>
          <w:rFonts w:eastAsia="Arial"/>
          <w:b/>
          <w:lang w:val="uk-UA"/>
        </w:rPr>
        <w:t xml:space="preserve"> Олександрівна</w:t>
      </w:r>
      <w:r w:rsidR="00FF42A7" w:rsidRPr="000F60DA">
        <w:t xml:space="preserve"> </w:t>
      </w:r>
      <w:r w:rsidR="00FF42A7">
        <w:rPr>
          <w:lang w:val="uk-UA"/>
        </w:rPr>
        <w:t>(</w:t>
      </w:r>
      <w:hyperlink r:id="rId27" w:history="1">
        <w:r w:rsidRPr="000613A9">
          <w:rPr>
            <w:rStyle w:val="a3"/>
            <w:lang w:val="uk-UA"/>
          </w:rPr>
          <w:t>http://new.kart.edu.ua/staff/</w:t>
        </w:r>
        <w:r w:rsidRPr="000613A9">
          <w:rPr>
            <w:rStyle w:val="a3"/>
            <w:lang w:val="en-US"/>
          </w:rPr>
          <w:t>kulova</w:t>
        </w:r>
        <w:r w:rsidRPr="000613A9">
          <w:rPr>
            <w:rStyle w:val="a3"/>
            <w:lang w:val="uk-UA"/>
          </w:rPr>
          <w:t>-do</w:t>
        </w:r>
      </w:hyperlink>
      <w:r w:rsidR="00FF42A7">
        <w:rPr>
          <w:lang w:val="uk-UA"/>
        </w:rPr>
        <w:t>)</w:t>
      </w:r>
      <w:r w:rsidR="00FF42A7" w:rsidRPr="000F60DA">
        <w:rPr>
          <w:rFonts w:eastAsia="Arial"/>
          <w:lang w:val="uk-UA"/>
        </w:rPr>
        <w:t xml:space="preserve"> </w:t>
      </w:r>
      <w:r w:rsidR="00FF42A7">
        <w:rPr>
          <w:rFonts w:eastAsia="Arial"/>
          <w:lang w:val="uk-UA"/>
        </w:rPr>
        <w:t xml:space="preserve">– лектор та </w:t>
      </w:r>
      <w:r w:rsidR="00FF42A7" w:rsidRPr="007D4FD8">
        <w:rPr>
          <w:rFonts w:eastAsia="Arial"/>
          <w:lang w:val="uk-UA"/>
        </w:rPr>
        <w:t xml:space="preserve">викладач практичних занять з </w:t>
      </w:r>
      <w:r w:rsidR="00FF42A7" w:rsidRPr="00CA210C">
        <w:rPr>
          <w:rFonts w:eastAsia="Arial"/>
          <w:lang w:val="uk-UA"/>
        </w:rPr>
        <w:t>дисципліни.</w:t>
      </w:r>
      <w:r w:rsidR="00FF42A7" w:rsidRPr="00CA210C">
        <w:rPr>
          <w:rStyle w:val="a3"/>
          <w:rFonts w:ascii="Arial" w:hAnsi="Arial" w:cs="Arial"/>
          <w:color w:val="333333"/>
          <w:sz w:val="19"/>
          <w:szCs w:val="19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3"/>
          <w:szCs w:val="23"/>
          <w:lang w:val="uk-UA"/>
        </w:rPr>
        <w:t>Отримала ступінь доктора філософії</w:t>
      </w:r>
      <w:r w:rsidR="00FF42A7" w:rsidRPr="00CA210C">
        <w:rPr>
          <w:sz w:val="23"/>
          <w:szCs w:val="23"/>
          <w:lang w:val="uk-UA"/>
        </w:rPr>
        <w:t xml:space="preserve"> за </w:t>
      </w:r>
      <w:r>
        <w:rPr>
          <w:sz w:val="23"/>
          <w:szCs w:val="23"/>
          <w:lang w:val="uk-UA"/>
        </w:rPr>
        <w:t>спеціальністю 275 – Транспортні технології</w:t>
      </w:r>
      <w:r w:rsidR="00271243">
        <w:rPr>
          <w:sz w:val="23"/>
          <w:szCs w:val="23"/>
          <w:lang w:val="uk-UA"/>
        </w:rPr>
        <w:t xml:space="preserve"> (залізничний транспорт)</w:t>
      </w:r>
      <w:r>
        <w:rPr>
          <w:sz w:val="23"/>
          <w:szCs w:val="23"/>
          <w:lang w:val="uk-UA"/>
        </w:rPr>
        <w:t xml:space="preserve"> в </w:t>
      </w:r>
      <w:proofErr w:type="spellStart"/>
      <w:r>
        <w:rPr>
          <w:sz w:val="23"/>
          <w:szCs w:val="23"/>
          <w:lang w:val="uk-UA"/>
        </w:rPr>
        <w:t>УкрДУЗТ</w:t>
      </w:r>
      <w:proofErr w:type="spellEnd"/>
      <w:r>
        <w:rPr>
          <w:sz w:val="23"/>
          <w:szCs w:val="23"/>
          <w:lang w:val="uk-UA"/>
        </w:rPr>
        <w:t xml:space="preserve"> у 2021</w:t>
      </w:r>
      <w:r w:rsidR="00FF42A7" w:rsidRPr="00CA210C">
        <w:rPr>
          <w:sz w:val="23"/>
          <w:szCs w:val="23"/>
          <w:lang w:val="uk-UA"/>
        </w:rPr>
        <w:t xml:space="preserve"> році. </w:t>
      </w:r>
      <w:r w:rsidR="00FF42A7" w:rsidRPr="00CA210C">
        <w:rPr>
          <w:rFonts w:eastAsia="Arial"/>
          <w:bCs/>
          <w:lang w:val="uk-UA"/>
        </w:rPr>
        <w:t>Напрямок наукової діяльності</w:t>
      </w:r>
      <w:r w:rsidR="00FF42A7" w:rsidRPr="00CA210C">
        <w:rPr>
          <w:rFonts w:eastAsia="Arial"/>
          <w:lang w:val="uk-UA"/>
        </w:rPr>
        <w:t> –</w:t>
      </w:r>
      <w:r>
        <w:rPr>
          <w:rFonts w:eastAsia="Arial"/>
          <w:lang w:val="uk-UA"/>
        </w:rPr>
        <w:t xml:space="preserve"> </w:t>
      </w:r>
      <w:r w:rsidR="00602CFA">
        <w:rPr>
          <w:rFonts w:eastAsia="Arial"/>
          <w:lang w:val="uk-UA"/>
        </w:rPr>
        <w:t xml:space="preserve">ризик-орієнтовані технології перевезень, </w:t>
      </w:r>
      <w:r>
        <w:rPr>
          <w:rFonts w:eastAsia="Arial"/>
          <w:lang w:val="uk-UA"/>
        </w:rPr>
        <w:t xml:space="preserve">інтелектуальні, автоматизовані технології </w:t>
      </w:r>
      <w:r w:rsidR="00602CFA">
        <w:rPr>
          <w:rFonts w:eastAsia="Arial"/>
          <w:lang w:val="uk-UA"/>
        </w:rPr>
        <w:t>перевезень</w:t>
      </w:r>
      <w:r w:rsidR="00FF42A7" w:rsidRPr="00CA210C">
        <w:rPr>
          <w:rFonts w:eastAsia="Arial"/>
          <w:lang w:val="uk-UA"/>
        </w:rPr>
        <w:t>.</w:t>
      </w:r>
      <w:bookmarkStart w:id="0" w:name="_GoBack"/>
      <w:bookmarkEnd w:id="0"/>
    </w:p>
    <w:p w:rsidR="00FF42A7" w:rsidRPr="00CA210C" w:rsidRDefault="00FF42A7" w:rsidP="00FF42A7">
      <w:pPr>
        <w:tabs>
          <w:tab w:val="left" w:pos="284"/>
          <w:tab w:val="left" w:pos="567"/>
        </w:tabs>
        <w:ind w:firstLine="709"/>
        <w:jc w:val="both"/>
        <w:rPr>
          <w:b/>
          <w:lang w:val="uk-UA"/>
        </w:rPr>
      </w:pPr>
    </w:p>
    <w:p w:rsidR="00FF42A7" w:rsidRDefault="00FF42A7" w:rsidP="00FF42A7">
      <w:pPr>
        <w:tabs>
          <w:tab w:val="left" w:pos="284"/>
          <w:tab w:val="left" w:pos="567"/>
        </w:tabs>
        <w:ind w:firstLine="709"/>
        <w:jc w:val="both"/>
        <w:rPr>
          <w:b/>
          <w:lang w:val="uk-UA"/>
        </w:rPr>
      </w:pPr>
    </w:p>
    <w:p w:rsidR="00FF42A7" w:rsidRPr="00C66A4B" w:rsidRDefault="00FF42A7" w:rsidP="00FF42A7">
      <w:pPr>
        <w:spacing w:line="0" w:lineRule="atLeast"/>
        <w:ind w:firstLine="720"/>
        <w:rPr>
          <w:rFonts w:ascii="Arial" w:eastAsia="Arial" w:hAnsi="Arial" w:cs="Arial"/>
          <w:b/>
          <w:color w:val="1F497D"/>
          <w:sz w:val="32"/>
          <w:szCs w:val="20"/>
          <w:lang w:val="uk-UA"/>
        </w:rPr>
      </w:pPr>
      <w:r w:rsidRPr="00C66A4B">
        <w:rPr>
          <w:rFonts w:ascii="Arial" w:eastAsia="Arial" w:hAnsi="Arial" w:cs="Arial"/>
          <w:b/>
          <w:color w:val="1F497D"/>
          <w:sz w:val="32"/>
          <w:szCs w:val="20"/>
          <w:lang w:val="uk-UA"/>
        </w:rPr>
        <w:t>Кодекс академічної доброчесності</w:t>
      </w:r>
    </w:p>
    <w:p w:rsidR="00FF42A7" w:rsidRDefault="00FF42A7" w:rsidP="00FF42A7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FF42A7" w:rsidRPr="00741E85" w:rsidRDefault="00FF42A7" w:rsidP="00FF42A7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FF42A7" w:rsidRPr="001900CC" w:rsidRDefault="00FF42A7" w:rsidP="00FF42A7">
      <w:pPr>
        <w:spacing w:line="39" w:lineRule="exact"/>
        <w:rPr>
          <w:lang w:val="uk-UA"/>
        </w:rPr>
      </w:pPr>
    </w:p>
    <w:p w:rsidR="00FF42A7" w:rsidRDefault="00FF42A7" w:rsidP="00FF42A7">
      <w:pPr>
        <w:ind w:firstLine="720"/>
        <w:jc w:val="both"/>
        <w:rPr>
          <w:lang w:val="uk-UA"/>
        </w:rPr>
      </w:pPr>
      <w:r w:rsidRPr="006241D5">
        <w:rPr>
          <w:rFonts w:eastAsia="Arial"/>
          <w:lang w:val="uk-UA"/>
        </w:rPr>
        <w:t xml:space="preserve">Порушення </w:t>
      </w:r>
      <w:r w:rsidRPr="006241D5">
        <w:rPr>
          <w:lang w:val="uk-UA"/>
        </w:rPr>
        <w:t xml:space="preserve">Кодексу академічної доброчесності </w:t>
      </w:r>
      <w:r w:rsidRPr="006241D5">
        <w:rPr>
          <w:rFonts w:eastAsia="Arial"/>
          <w:lang w:val="uk-UA"/>
        </w:rPr>
        <w:t>Українського державного університету залізничного транспорту є серйозним порушенням, навіть якщо воно є ненавмисним.</w:t>
      </w:r>
      <w:r w:rsidRPr="006241D5">
        <w:rPr>
          <w:lang w:val="uk-UA"/>
        </w:rPr>
        <w:t xml:space="preserve"> </w:t>
      </w:r>
      <w:r w:rsidRPr="006241D5">
        <w:rPr>
          <w:rFonts w:eastAsia="Arial"/>
          <w:lang w:val="uk-UA"/>
        </w:rPr>
        <w:t>Кодекс доступний за посиланням</w:t>
      </w:r>
      <w:r w:rsidRPr="006241D5">
        <w:rPr>
          <w:rFonts w:eastAsia="Arial"/>
        </w:rPr>
        <w:t>:</w:t>
      </w:r>
      <w:r w:rsidRPr="006241D5">
        <w:rPr>
          <w:rFonts w:eastAsia="Arial"/>
          <w:lang w:val="uk-UA"/>
        </w:rPr>
        <w:t xml:space="preserve"> </w:t>
      </w:r>
      <w:hyperlink r:id="rId28" w:history="1">
        <w:r w:rsidRPr="006241D5">
          <w:rPr>
            <w:rStyle w:val="a3"/>
            <w:lang w:val="uk-UA"/>
          </w:rPr>
          <w:t>http://kart.edu.ua/documentu-zvo-ua</w:t>
        </w:r>
      </w:hyperlink>
      <w:r w:rsidRPr="006241D5">
        <w:rPr>
          <w:lang w:val="uk-UA"/>
        </w:rPr>
        <w:t xml:space="preserve">. </w:t>
      </w:r>
    </w:p>
    <w:p w:rsidR="00FF42A7" w:rsidRPr="006241D5" w:rsidRDefault="00FF42A7" w:rsidP="00FF42A7">
      <w:pPr>
        <w:ind w:firstLine="720"/>
        <w:jc w:val="both"/>
        <w:rPr>
          <w:rFonts w:eastAsia="Arial"/>
          <w:lang w:val="uk-UA"/>
        </w:rPr>
      </w:pPr>
      <w:r w:rsidRPr="006241D5">
        <w:rPr>
          <w:rFonts w:eastAsia="Arial"/>
          <w:lang w:val="uk-UA"/>
        </w:rPr>
        <w:t xml:space="preserve">Зокрема, дотримання Кодексу академічної доброчесності </w:t>
      </w:r>
      <w:proofErr w:type="spellStart"/>
      <w:r w:rsidRPr="006241D5">
        <w:rPr>
          <w:rFonts w:eastAsia="Arial"/>
          <w:lang w:val="uk-UA"/>
        </w:rPr>
        <w:t>УкрДУЗТ</w:t>
      </w:r>
      <w:proofErr w:type="spellEnd"/>
      <w:r w:rsidRPr="006241D5">
        <w:rPr>
          <w:rFonts w:eastAsia="Arial"/>
          <w:lang w:val="uk-UA"/>
        </w:rPr>
        <w:t xml:space="preserve"> означає, що вся робота на іспитах та заліках має виконуватися індивідуально. Під час виконання самостійної роботи студенти можуть консультуватися з викладачами та з іншими студентами, але повинні самостійно розв’язувати завдання, керуючись власними знаннями, уміннями та навичками. Посилання на всі ресурси та джерела (наприклад, у звітах, самостійних роботах чи презентаціях) повинні бути чітко визначені та оформлені належним чином. У разі спільної роботи з іншими студентами над виконанням індивідуальних завдань, ви повинні зазначити ступінь їх </w:t>
      </w:r>
      <w:proofErr w:type="spellStart"/>
      <w:r w:rsidRPr="006241D5">
        <w:rPr>
          <w:rFonts w:eastAsia="Arial"/>
          <w:lang w:val="uk-UA"/>
        </w:rPr>
        <w:t>залученості</w:t>
      </w:r>
      <w:proofErr w:type="spellEnd"/>
      <w:r w:rsidRPr="006241D5">
        <w:rPr>
          <w:rFonts w:eastAsia="Arial"/>
          <w:lang w:val="uk-UA"/>
        </w:rPr>
        <w:t xml:space="preserve"> до роботи.</w:t>
      </w:r>
    </w:p>
    <w:p w:rsidR="00FF42A7" w:rsidRPr="006241D5" w:rsidRDefault="00FF42A7" w:rsidP="00FF42A7">
      <w:pPr>
        <w:spacing w:line="14" w:lineRule="exact"/>
        <w:rPr>
          <w:lang w:val="uk-UA"/>
        </w:rPr>
      </w:pPr>
    </w:p>
    <w:p w:rsidR="00FF42A7" w:rsidRDefault="00FF42A7" w:rsidP="00FF42A7">
      <w:pPr>
        <w:spacing w:line="0" w:lineRule="atLeast"/>
        <w:rPr>
          <w:rFonts w:eastAsia="Arial"/>
          <w:b/>
          <w:lang w:val="uk-UA"/>
        </w:rPr>
      </w:pPr>
    </w:p>
    <w:p w:rsidR="00FF42A7" w:rsidRPr="006241D5" w:rsidRDefault="00FF42A7" w:rsidP="00FF42A7">
      <w:pPr>
        <w:spacing w:line="0" w:lineRule="atLeast"/>
        <w:rPr>
          <w:rFonts w:eastAsia="Arial"/>
          <w:b/>
          <w:lang w:val="uk-UA"/>
        </w:rPr>
      </w:pPr>
    </w:p>
    <w:p w:rsidR="00FF42A7" w:rsidRPr="00C66A4B" w:rsidRDefault="00FF42A7" w:rsidP="00FF42A7">
      <w:pPr>
        <w:spacing w:line="0" w:lineRule="atLeast"/>
        <w:ind w:firstLine="720"/>
        <w:jc w:val="both"/>
        <w:rPr>
          <w:rFonts w:ascii="Arial" w:eastAsia="Arial" w:hAnsi="Arial" w:cs="Arial"/>
          <w:b/>
          <w:color w:val="1F497D"/>
          <w:sz w:val="32"/>
          <w:szCs w:val="20"/>
          <w:lang w:val="uk-UA"/>
        </w:rPr>
      </w:pPr>
      <w:r w:rsidRPr="00C66A4B">
        <w:rPr>
          <w:rFonts w:ascii="Arial" w:eastAsia="Arial" w:hAnsi="Arial" w:cs="Arial"/>
          <w:b/>
          <w:color w:val="1F497D"/>
          <w:sz w:val="32"/>
          <w:szCs w:val="20"/>
          <w:lang w:val="uk-UA"/>
        </w:rPr>
        <w:t xml:space="preserve">Інтеграція студентів із обмеженими можливостями </w:t>
      </w:r>
    </w:p>
    <w:p w:rsidR="00FF42A7" w:rsidRPr="00C66A4B" w:rsidRDefault="00FF42A7" w:rsidP="00FF42A7">
      <w:pPr>
        <w:spacing w:line="0" w:lineRule="atLeast"/>
        <w:ind w:firstLine="720"/>
        <w:rPr>
          <w:rFonts w:ascii="Arial" w:eastAsia="Arial" w:hAnsi="Arial" w:cs="Arial"/>
          <w:b/>
          <w:color w:val="1F497D"/>
          <w:sz w:val="32"/>
          <w:szCs w:val="20"/>
          <w:lang w:val="uk-UA"/>
        </w:rPr>
      </w:pPr>
    </w:p>
    <w:p w:rsidR="00FF42A7" w:rsidRPr="006241D5" w:rsidRDefault="00FF42A7" w:rsidP="00FF42A7">
      <w:pPr>
        <w:ind w:right="6" w:firstLine="720"/>
        <w:jc w:val="both"/>
        <w:rPr>
          <w:rFonts w:eastAsia="Arial"/>
          <w:lang w:val="uk-UA"/>
        </w:rPr>
      </w:pPr>
      <w:r w:rsidRPr="006241D5">
        <w:rPr>
          <w:lang w:val="uk-UA"/>
        </w:rPr>
        <w:t>Вища освіта є провідним чинником підвищення соціального статусу, досягнення духовної, матеріальної незалежності і соціалізації молоді з обмеженими функціональними можливостями й відображає стан розвитку демократичних процесів і гуманізації суспільства.</w:t>
      </w:r>
    </w:p>
    <w:p w:rsidR="00FF42A7" w:rsidRPr="006241D5" w:rsidRDefault="00FF42A7" w:rsidP="00FF42A7">
      <w:pPr>
        <w:ind w:right="6" w:firstLine="720"/>
        <w:jc w:val="both"/>
        <w:rPr>
          <w:lang w:val="uk-UA"/>
        </w:rPr>
      </w:pPr>
      <w:r w:rsidRPr="006241D5">
        <w:rPr>
          <w:rFonts w:eastAsia="Arial"/>
          <w:lang w:val="uk-UA"/>
        </w:rPr>
        <w:t xml:space="preserve">Для інтеграції студентів із обмеженими можливостями в освітній процес Українського державного університету залізничного транспорту створена система дистанційного навчання </w:t>
      </w:r>
      <w:r w:rsidRPr="006241D5">
        <w:rPr>
          <w:lang w:val="uk-UA"/>
        </w:rPr>
        <w:t>на основі сучасних педагогічних, інформаційних, телекомунікаційних технологій.</w:t>
      </w:r>
    </w:p>
    <w:p w:rsidR="00FF42A7" w:rsidRDefault="00FF42A7" w:rsidP="00FF42A7">
      <w:pPr>
        <w:ind w:right="6" w:firstLine="720"/>
        <w:jc w:val="both"/>
      </w:pPr>
      <w:r w:rsidRPr="006241D5">
        <w:rPr>
          <w:lang w:val="uk-UA"/>
        </w:rPr>
        <w:t xml:space="preserve">Доступ до матеріалів дистанційного навчання з цього курсу можна знайти за посиланням: </w:t>
      </w:r>
      <w:hyperlink r:id="rId29" w:history="1">
        <w:r w:rsidRPr="006241D5">
          <w:rPr>
            <w:rStyle w:val="a3"/>
          </w:rPr>
          <w:t>http://do.kart.edu.ua/</w:t>
        </w:r>
      </w:hyperlink>
    </w:p>
    <w:p w:rsidR="00FF42A7" w:rsidRPr="0036715C" w:rsidRDefault="00FF42A7" w:rsidP="0036715C">
      <w:pPr>
        <w:ind w:firstLine="709"/>
        <w:jc w:val="both"/>
      </w:pPr>
    </w:p>
    <w:p w:rsidR="0036715C" w:rsidRPr="0036715C" w:rsidRDefault="0036715C">
      <w:pPr>
        <w:rPr>
          <w:sz w:val="28"/>
          <w:szCs w:val="28"/>
          <w:lang w:val="uk-UA"/>
        </w:rPr>
      </w:pPr>
    </w:p>
    <w:sectPr w:rsidR="0036715C" w:rsidRPr="0036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67C7"/>
    <w:multiLevelType w:val="hybridMultilevel"/>
    <w:tmpl w:val="DFA8BC4A"/>
    <w:lvl w:ilvl="0" w:tplc="E9DE6D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2"/>
    <w:rsid w:val="00006384"/>
    <w:rsid w:val="00007C8B"/>
    <w:rsid w:val="00013A69"/>
    <w:rsid w:val="000155E3"/>
    <w:rsid w:val="000326D9"/>
    <w:rsid w:val="00035E3A"/>
    <w:rsid w:val="0004107E"/>
    <w:rsid w:val="0005019E"/>
    <w:rsid w:val="00072756"/>
    <w:rsid w:val="00074FA0"/>
    <w:rsid w:val="000827D0"/>
    <w:rsid w:val="00087D9E"/>
    <w:rsid w:val="000B3FA3"/>
    <w:rsid w:val="000E6347"/>
    <w:rsid w:val="000F0227"/>
    <w:rsid w:val="000F5364"/>
    <w:rsid w:val="000F5CD7"/>
    <w:rsid w:val="000F7A83"/>
    <w:rsid w:val="00125D7A"/>
    <w:rsid w:val="0013269D"/>
    <w:rsid w:val="00132B02"/>
    <w:rsid w:val="00132C4D"/>
    <w:rsid w:val="00141B07"/>
    <w:rsid w:val="00144387"/>
    <w:rsid w:val="0014597E"/>
    <w:rsid w:val="00152840"/>
    <w:rsid w:val="001623AB"/>
    <w:rsid w:val="001636BD"/>
    <w:rsid w:val="00165E64"/>
    <w:rsid w:val="0019448B"/>
    <w:rsid w:val="00197AE6"/>
    <w:rsid w:val="001D260E"/>
    <w:rsid w:val="001E79C4"/>
    <w:rsid w:val="00200EED"/>
    <w:rsid w:val="00202CD9"/>
    <w:rsid w:val="0020409E"/>
    <w:rsid w:val="0020769C"/>
    <w:rsid w:val="002128B6"/>
    <w:rsid w:val="00226AFC"/>
    <w:rsid w:val="0024197C"/>
    <w:rsid w:val="002440A3"/>
    <w:rsid w:val="002473AB"/>
    <w:rsid w:val="002504A8"/>
    <w:rsid w:val="00271243"/>
    <w:rsid w:val="00273AE4"/>
    <w:rsid w:val="00276554"/>
    <w:rsid w:val="002B3C04"/>
    <w:rsid w:val="002B3F82"/>
    <w:rsid w:val="002B7A9F"/>
    <w:rsid w:val="002C51D2"/>
    <w:rsid w:val="002D67EB"/>
    <w:rsid w:val="002D7119"/>
    <w:rsid w:val="00300510"/>
    <w:rsid w:val="0031141F"/>
    <w:rsid w:val="00315F29"/>
    <w:rsid w:val="0032023A"/>
    <w:rsid w:val="00341410"/>
    <w:rsid w:val="0036715C"/>
    <w:rsid w:val="00371FB7"/>
    <w:rsid w:val="003A7A3D"/>
    <w:rsid w:val="003C3A7C"/>
    <w:rsid w:val="003D1C74"/>
    <w:rsid w:val="003E69B9"/>
    <w:rsid w:val="003F6CAB"/>
    <w:rsid w:val="00412310"/>
    <w:rsid w:val="00422891"/>
    <w:rsid w:val="004335E9"/>
    <w:rsid w:val="0045778E"/>
    <w:rsid w:val="00492950"/>
    <w:rsid w:val="004A05E3"/>
    <w:rsid w:val="004A5626"/>
    <w:rsid w:val="004B372E"/>
    <w:rsid w:val="004B4765"/>
    <w:rsid w:val="004B531E"/>
    <w:rsid w:val="004C2EE4"/>
    <w:rsid w:val="004D52C6"/>
    <w:rsid w:val="004E33C2"/>
    <w:rsid w:val="004E3E08"/>
    <w:rsid w:val="00554A6C"/>
    <w:rsid w:val="00554D91"/>
    <w:rsid w:val="005621B3"/>
    <w:rsid w:val="005631A5"/>
    <w:rsid w:val="005643A1"/>
    <w:rsid w:val="00574783"/>
    <w:rsid w:val="00597622"/>
    <w:rsid w:val="005B776C"/>
    <w:rsid w:val="005C5D04"/>
    <w:rsid w:val="005C6C51"/>
    <w:rsid w:val="005D2246"/>
    <w:rsid w:val="005D3663"/>
    <w:rsid w:val="005E05C8"/>
    <w:rsid w:val="005E0F82"/>
    <w:rsid w:val="005E6521"/>
    <w:rsid w:val="005F73ED"/>
    <w:rsid w:val="005F7F6B"/>
    <w:rsid w:val="00600A49"/>
    <w:rsid w:val="00602CFA"/>
    <w:rsid w:val="0060348A"/>
    <w:rsid w:val="006165DE"/>
    <w:rsid w:val="006173B1"/>
    <w:rsid w:val="00621C00"/>
    <w:rsid w:val="00626CE5"/>
    <w:rsid w:val="00630159"/>
    <w:rsid w:val="00640481"/>
    <w:rsid w:val="006420BA"/>
    <w:rsid w:val="006437FE"/>
    <w:rsid w:val="00645A43"/>
    <w:rsid w:val="00651ADC"/>
    <w:rsid w:val="00662D3A"/>
    <w:rsid w:val="00674BA3"/>
    <w:rsid w:val="00682F26"/>
    <w:rsid w:val="00683C7A"/>
    <w:rsid w:val="006A666F"/>
    <w:rsid w:val="006C73D2"/>
    <w:rsid w:val="006E6368"/>
    <w:rsid w:val="006F2DF7"/>
    <w:rsid w:val="006F50EA"/>
    <w:rsid w:val="00715B05"/>
    <w:rsid w:val="0071659B"/>
    <w:rsid w:val="00724949"/>
    <w:rsid w:val="00724A10"/>
    <w:rsid w:val="00733AB6"/>
    <w:rsid w:val="00760B54"/>
    <w:rsid w:val="007637E6"/>
    <w:rsid w:val="00764148"/>
    <w:rsid w:val="00764646"/>
    <w:rsid w:val="00773CA1"/>
    <w:rsid w:val="00775334"/>
    <w:rsid w:val="00787121"/>
    <w:rsid w:val="00794F6B"/>
    <w:rsid w:val="0079659D"/>
    <w:rsid w:val="007A02F6"/>
    <w:rsid w:val="007B1E05"/>
    <w:rsid w:val="007C67FC"/>
    <w:rsid w:val="007D0EA4"/>
    <w:rsid w:val="007D7C58"/>
    <w:rsid w:val="007E2380"/>
    <w:rsid w:val="007F4D82"/>
    <w:rsid w:val="007F79DF"/>
    <w:rsid w:val="0082181A"/>
    <w:rsid w:val="00836A21"/>
    <w:rsid w:val="008407CB"/>
    <w:rsid w:val="008602AD"/>
    <w:rsid w:val="00874EFE"/>
    <w:rsid w:val="008765DB"/>
    <w:rsid w:val="00886962"/>
    <w:rsid w:val="008915DC"/>
    <w:rsid w:val="008A32CE"/>
    <w:rsid w:val="008A4683"/>
    <w:rsid w:val="008B1820"/>
    <w:rsid w:val="008D73F2"/>
    <w:rsid w:val="008E61D6"/>
    <w:rsid w:val="008F6EFA"/>
    <w:rsid w:val="009435D2"/>
    <w:rsid w:val="00956D63"/>
    <w:rsid w:val="00986C5D"/>
    <w:rsid w:val="00990E9F"/>
    <w:rsid w:val="009A429F"/>
    <w:rsid w:val="009B0672"/>
    <w:rsid w:val="009B2FCC"/>
    <w:rsid w:val="009D05A2"/>
    <w:rsid w:val="009E1F46"/>
    <w:rsid w:val="009E6B01"/>
    <w:rsid w:val="009F044B"/>
    <w:rsid w:val="00A130A1"/>
    <w:rsid w:val="00A46AE5"/>
    <w:rsid w:val="00A50ED7"/>
    <w:rsid w:val="00A5263F"/>
    <w:rsid w:val="00A562A2"/>
    <w:rsid w:val="00A85169"/>
    <w:rsid w:val="00AA5F50"/>
    <w:rsid w:val="00AA6CC2"/>
    <w:rsid w:val="00AB5252"/>
    <w:rsid w:val="00AD180F"/>
    <w:rsid w:val="00AD4448"/>
    <w:rsid w:val="00AE44BB"/>
    <w:rsid w:val="00AF30E2"/>
    <w:rsid w:val="00AF3257"/>
    <w:rsid w:val="00B0461F"/>
    <w:rsid w:val="00B12D9E"/>
    <w:rsid w:val="00B23A52"/>
    <w:rsid w:val="00B24CE7"/>
    <w:rsid w:val="00B46AF6"/>
    <w:rsid w:val="00B53C69"/>
    <w:rsid w:val="00B67D75"/>
    <w:rsid w:val="00B74A1D"/>
    <w:rsid w:val="00B82A18"/>
    <w:rsid w:val="00B82D60"/>
    <w:rsid w:val="00B85CCC"/>
    <w:rsid w:val="00B933B4"/>
    <w:rsid w:val="00B952B9"/>
    <w:rsid w:val="00BA069C"/>
    <w:rsid w:val="00BD0975"/>
    <w:rsid w:val="00BD54C8"/>
    <w:rsid w:val="00BE1C23"/>
    <w:rsid w:val="00BF1F05"/>
    <w:rsid w:val="00C13676"/>
    <w:rsid w:val="00C15724"/>
    <w:rsid w:val="00C15A90"/>
    <w:rsid w:val="00C2014B"/>
    <w:rsid w:val="00C2415C"/>
    <w:rsid w:val="00C363AF"/>
    <w:rsid w:val="00C54791"/>
    <w:rsid w:val="00C774BC"/>
    <w:rsid w:val="00CA6DD5"/>
    <w:rsid w:val="00CC1F4D"/>
    <w:rsid w:val="00CF00C3"/>
    <w:rsid w:val="00CF2784"/>
    <w:rsid w:val="00D07A1A"/>
    <w:rsid w:val="00D3266B"/>
    <w:rsid w:val="00D37AC6"/>
    <w:rsid w:val="00D44350"/>
    <w:rsid w:val="00D52D4F"/>
    <w:rsid w:val="00D63A48"/>
    <w:rsid w:val="00D64384"/>
    <w:rsid w:val="00D76F7D"/>
    <w:rsid w:val="00D77C39"/>
    <w:rsid w:val="00D9211D"/>
    <w:rsid w:val="00D96886"/>
    <w:rsid w:val="00DB69F1"/>
    <w:rsid w:val="00DC5A41"/>
    <w:rsid w:val="00DC6DD8"/>
    <w:rsid w:val="00DD0284"/>
    <w:rsid w:val="00DE3EFC"/>
    <w:rsid w:val="00E02481"/>
    <w:rsid w:val="00E117B8"/>
    <w:rsid w:val="00E25434"/>
    <w:rsid w:val="00E2568A"/>
    <w:rsid w:val="00E25ADF"/>
    <w:rsid w:val="00E31592"/>
    <w:rsid w:val="00E40AFE"/>
    <w:rsid w:val="00E46EBF"/>
    <w:rsid w:val="00E514D7"/>
    <w:rsid w:val="00E67C5A"/>
    <w:rsid w:val="00E84A81"/>
    <w:rsid w:val="00E93E7F"/>
    <w:rsid w:val="00EB7834"/>
    <w:rsid w:val="00EC1153"/>
    <w:rsid w:val="00EC1571"/>
    <w:rsid w:val="00EC7C21"/>
    <w:rsid w:val="00ED00C2"/>
    <w:rsid w:val="00ED2D4C"/>
    <w:rsid w:val="00EE2F1F"/>
    <w:rsid w:val="00EF0A23"/>
    <w:rsid w:val="00EF39C7"/>
    <w:rsid w:val="00EF4D64"/>
    <w:rsid w:val="00F230CF"/>
    <w:rsid w:val="00F2586C"/>
    <w:rsid w:val="00F400B5"/>
    <w:rsid w:val="00F4576B"/>
    <w:rsid w:val="00F467D1"/>
    <w:rsid w:val="00F56865"/>
    <w:rsid w:val="00F62B25"/>
    <w:rsid w:val="00F63F22"/>
    <w:rsid w:val="00F67197"/>
    <w:rsid w:val="00F749FA"/>
    <w:rsid w:val="00F809DA"/>
    <w:rsid w:val="00F815D1"/>
    <w:rsid w:val="00F82E36"/>
    <w:rsid w:val="00F833E7"/>
    <w:rsid w:val="00F90324"/>
    <w:rsid w:val="00F960BC"/>
    <w:rsid w:val="00FB3750"/>
    <w:rsid w:val="00FE00E9"/>
    <w:rsid w:val="00FE32D2"/>
    <w:rsid w:val="00FF42A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03595-8817-4FD4-B5C5-64A36CE5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765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715C"/>
    <w:rPr>
      <w:color w:val="0000FF"/>
      <w:u w:val="single"/>
    </w:rPr>
  </w:style>
  <w:style w:type="paragraph" w:styleId="a4">
    <w:name w:val="Normal (Web)"/>
    <w:basedOn w:val="a"/>
    <w:rsid w:val="0036715C"/>
    <w:pPr>
      <w:spacing w:before="100" w:beforeAutospacing="1" w:after="100" w:afterAutospacing="1"/>
    </w:pPr>
    <w:rPr>
      <w:lang w:bidi="he-IL"/>
    </w:rPr>
  </w:style>
  <w:style w:type="paragraph" w:styleId="HTML">
    <w:name w:val="HTML Preformatted"/>
    <w:basedOn w:val="a"/>
    <w:link w:val="HTML0"/>
    <w:unhideWhenUsed/>
    <w:rsid w:val="005F7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7F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63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rsid w:val="00574783"/>
    <w:pPr>
      <w:widowControl w:val="0"/>
      <w:autoSpaceDE w:val="0"/>
      <w:autoSpaceDN w:val="0"/>
      <w:ind w:left="109"/>
    </w:pPr>
    <w:rPr>
      <w:rFonts w:eastAsia="Calibri"/>
      <w:sz w:val="22"/>
      <w:szCs w:val="22"/>
      <w:lang w:val="uk-UA" w:eastAsia="en-US"/>
    </w:rPr>
  </w:style>
  <w:style w:type="character" w:customStyle="1" w:styleId="instancename">
    <w:name w:val="instancename"/>
    <w:basedOn w:val="a0"/>
    <w:rsid w:val="00276554"/>
  </w:style>
  <w:style w:type="character" w:customStyle="1" w:styleId="accesshide">
    <w:name w:val="accesshide"/>
    <w:basedOn w:val="a0"/>
    <w:rsid w:val="00276554"/>
  </w:style>
  <w:style w:type="character" w:customStyle="1" w:styleId="20">
    <w:name w:val="Заголовок 2 Знак"/>
    <w:basedOn w:val="a0"/>
    <w:link w:val="2"/>
    <w:uiPriority w:val="9"/>
    <w:rsid w:val="00276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ova.uvkr@kart.edu.u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uz.gov.ua/cargo_transportation/electronic_transportation/" TargetMode="External"/><Relationship Id="rId26" Type="http://schemas.openxmlformats.org/officeDocument/2006/relationships/hyperlink" Target="http://kart.edu.ua/images/stories/akademiya/documentu-vnz/polojennya-12-2015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kart.edu.ua/mod/assign/view.php?id=263569" TargetMode="External"/><Relationship Id="rId7" Type="http://schemas.openxmlformats.org/officeDocument/2006/relationships/hyperlink" Target="mailto:kulova.uvkr@kart.edu.ua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uz.gov.ua/cargo_transportation/legal_documents/terms_of_freight" TargetMode="External"/><Relationship Id="rId25" Type="http://schemas.openxmlformats.org/officeDocument/2006/relationships/hyperlink" Target="https://do.kart.edu.ua/mod/lesson/view.php?id=2570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0.rada.gov.ua/laws/show/457-98-%D0%BF" TargetMode="External"/><Relationship Id="rId20" Type="http://schemas.openxmlformats.org/officeDocument/2006/relationships/hyperlink" Target="https://cfts.org.ua" TargetMode="External"/><Relationship Id="rId29" Type="http://schemas.openxmlformats.org/officeDocument/2006/relationships/hyperlink" Target="http://do.kart.edu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asp.kart.edu.ua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do.kart.edu.ua/mod/assign/view.php?id=2635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.kart.edu.ua/" TargetMode="External"/><Relationship Id="rId23" Type="http://schemas.openxmlformats.org/officeDocument/2006/relationships/hyperlink" Target="https://do.kart.edu.ua/mod/lesson/view.php?id=257089" TargetMode="External"/><Relationship Id="rId28" Type="http://schemas.openxmlformats.org/officeDocument/2006/relationships/hyperlink" Target="http://kart.edu.ua/documentu-zvo-ua" TargetMode="External"/><Relationship Id="rId10" Type="http://schemas.openxmlformats.org/officeDocument/2006/relationships/hyperlink" Target="http://metod.kart.edu.ua" TargetMode="External"/><Relationship Id="rId19" Type="http://schemas.openxmlformats.org/officeDocument/2006/relationships/hyperlink" Target="http://uz-cargo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valov.uvkr@kart.edu.ua" TargetMode="External"/><Relationship Id="rId14" Type="http://schemas.openxmlformats.org/officeDocument/2006/relationships/hyperlink" Target="http://kart.edu.ua/mat-po-fak-ua/mat-fac-upp-ua" TargetMode="External"/><Relationship Id="rId22" Type="http://schemas.openxmlformats.org/officeDocument/2006/relationships/hyperlink" Target="https://do.kart.edu.ua/mod/assign/view.php?id=263570" TargetMode="External"/><Relationship Id="rId27" Type="http://schemas.openxmlformats.org/officeDocument/2006/relationships/hyperlink" Target="http://new.kart.edu.ua/staff/kulova-d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EB7A-7D63-4D62-81B6-E0052690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2023-01-19T19:33:00Z</dcterms:created>
  <dcterms:modified xsi:type="dcterms:W3CDTF">2023-10-17T18:59:00Z</dcterms:modified>
</cp:coreProperties>
</file>